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40.1995.2 vom 13. September 1996</w:t>
      </w:r>
    </w:p>
    <w:p>
      <w:r>
        <w:t>TI Tribunale d'appello, 1996-09-13, IT</w:t>
      </w:r>
    </w:p>
    <w:p>
      <w:r>
        <w:rPr>
          <w:b/>
        </w:rPr>
        <w:t xml:space="preserve">Quelle: </w:t>
      </w:r>
      <w:r>
        <w:t>https://mcp.opencaselaw.ch/entscheid/ti_gerichte_40.1995.2</w:t>
      </w:r>
    </w:p>
    <w:p>
      <w:r>
        <w:t>FR: TI_GERICHTE 40.1995.2 du 13 septembre 1996</w:t>
      </w:r>
    </w:p>
    <w:p>
      <w:r>
        <w:t>IT: TI_GERICHTE 40.1995.2 del 13 settembre 1996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n.40.95.00002</w:t>
      </w:r>
    </w:p>
    <w:p>
      <w:r>
        <w:t>fz</w:t>
      </w:r>
    </w:p>
    <w:p>
      <w:r>
        <w:t>Lugano</w:t>
      </w:r>
    </w:p>
    <w:p>
      <w:r>
        <w:t>13 settembre 1996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9 maggio 1995 interposto da</w:t>
      </w:r>
    </w:p>
    <w:p>
      <w:r>
        <w:t>__________,</w:t>
      </w:r>
    </w:p>
    <w:p>
      <w:r>
        <w:t>contro</w:t>
      </w:r>
    </w:p>
    <w:p>
      <w:r>
        <w:t>la decisione del 10.4.95 emanata da</w:t>
      </w:r>
    </w:p>
    <w:p>
      <w:r>
        <w:t>Cassa cant. assegni familiari,6500 Bellinzona,</w:t>
      </w:r>
    </w:p>
    <w:p>
      <w:r>
        <w:t>in materia di assegni famigliari ai salariati.</w:t>
      </w:r>
    </w:p>
    <w:p>
      <w:r>
        <w:t>letti ed esaminati gli atti;</w:t>
      </w:r>
    </w:p>
    <w:p>
      <w:r>
        <w:t>vista la lettera 10.9.96 della parte convenuta che precisa di aver emesso in data 18.12.95 una nuova decisione con la quale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rilevato che di conseguenza il gravame è divenuto privo di oggetto;</w:t>
      </w:r>
    </w:p>
    <w:p>
      <w:r>
        <w:t>decreta1.   il ricorso di cui sopra èstralciato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