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39.2026.1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https://mcp.opencaselaw.ch/entscheid/ti_gerichte_39.2026.1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n.39.2026.1</w:t>
      </w:r>
    </w:p>
    <w:p>
      <w:r>
        <w:t>rs</w:t>
      </w:r>
    </w:p>
    <w:p>
      <w:r>
        <w:t>Lugano</w:t>
      </w:r>
    </w:p>
    <w:p>
      <w:r>
        <w:t>27 aprile 2026</w:t>
      </w:r>
    </w:p>
    <w:p>
      <w:r>
        <w:t>In nomedella Repubblica e CantoneTicino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con redattrice:</w:t>
      </w:r>
    </w:p>
    <w:p>
      <w:r>
        <w:t>Raffaella Sartoris Vacchini, cancelliera</w:t>
      </w:r>
    </w:p>
    <w:p>
      <w:r>
        <w:t>segretario:</w:t>
      </w:r>
    </w:p>
    <w:p>
      <w:r>
        <w:t>Gianluca Menghetti</w:t>
      </w:r>
    </w:p>
    <w:p>
      <w:r>
        <w:t>statuendo sul ricorso del 2 gennaio 2026 di</w:t>
      </w:r>
    </w:p>
    <w:p>
      <w:r>
        <w:t>RI1,_______</w:t>
      </w:r>
    </w:p>
    <w:p>
      <w:r>
        <w:t>contro</w:t>
      </w:r>
    </w:p>
    <w:p>
      <w:r>
        <w:t>la decisione su reclamo del 25 novembre 2025 emanata da</w:t>
      </w:r>
    </w:p>
    <w:p>
      <w:r>
        <w:t>Cassa cantonale di compensazione per gli assegni familiari,6501Bellinzona</w:t>
      </w:r>
    </w:p>
    <w:p>
      <w:r>
        <w:t>in materia di assegni di famiglia</w:t>
      </w:r>
    </w:p>
    <w:p>
      <w:r>
        <w:t>ritenutoin fatto</w:t>
      </w:r>
    </w:p>
    <w:p>
      <w:r>
        <w:t>consideratoin diritto</w:t>
      </w:r>
    </w:p>
    <w:p>
      <w:r>
        <w:t>2.1.  La presente vertenza non pone questioni giuridiche di principio e non è di rilevante importanza (ad esempio per la difficoltà dellistruttoria o della valutazione delle prove). Il TCA può dunque decidere nella composizione di un Giudice unico ai sensi dell'art. 49 cpv. 2 della Legge sullorganizzazione giudiziaria (su questo tema cfr. STF 9C_164/2023 del 29 gennaio 2024; STF 8C_437/2023 del 13 dicembre 2023 in SVR 2024 IV Nr. 16; STF 8C_254/2023 del 9 novembre 2023 in SVR 2024 IV Nr. 4; STF 9C_699/2014 del 31 agosto 2015, in particolare consid. 5.2, 5.3 e 6.1; STF 8C_452/2011 del 12 marzo 2012; STF 8C_855/2010 dell'11 luglio 2011; STF 9C_211/ 2010 del 18 febbraio 2011, consid. 2.1; STF 9C_792/2007 del 7 novembre 2008; STF H 180/06 e H 183/06 del 21 dicembre 2007; STF I 707/00 del 21 luglio 2003; STF H 335/00 del 18 febbraio 2002; STF H 212/00 del 4 febbraio 2002; STF H 220/00 del 29 gennaio 2002; STF U 347/98 del 10 ottobre 2001, pubblicata in RDAT I-2002 pag. 190 seg.; STF H 304/99 del 22 dicembre 2000; STF I 623/98 del 26 ottobre 1999. Vedi pure: STF 9C_807/2014 del 9 settembre 2015; STF 9C_585/2014 dell8 settembre 2015).</w:t>
      </w:r>
    </w:p>
    <w:p>
      <w:r>
        <w:t>La causa, da questo profilo, è, pertanto, priva di oggetto (in questo senso, cfr.STF 9C_220/2022 dell11 agosto 2022;ordinanza del TF 9C_541/2015 del 12 novembre 2015; STF 9C_433/2009 del 19 agosto 2009 consid. 1; STFA I 760/05 del 24 maggio 2006 consid. 1 e i riferimenti ivi menzionati; STCA 42.2024.2 del 22 aprile 2024 consid. 2.3., il cui ricorso al Tribunale federale della persona interessata è stato ritenuto inammissibile con giudizio 8C_282/2024 del 24 maggio 2024; STCA 42.2019.39-40 del 27 aprile 2020 consid. 2.2.; STCA 42.2018.15 del 12 settembre 2018 consid. 2.1.).</w:t>
      </w:r>
    </w:p>
    <w:p>
      <w:r>
        <w:t>La buona fede va, altresì, negata se colui che si è arricchito, al momento del versamento, poteva attendersi di dover restituire, in quanto sapeva o doveva sapere, facendo prova dellattenzione richiesta, che la prestazione era indebita (art. 3 cpv. 2 CC; STF 8C_613/2025 del 27 marzo 2026 consid. 3.2.; STF 8C_163/2024 dell11 ottobre 2024 consid. 5.2.1.; STF 8C_399/2021 del 5 ottobre 2021; STF 9C_795/2020 del 10 marzo 2021; DTF 130 V 414 consid. 4.3 e i riferimenti ivi menzionati).</w:t>
      </w:r>
    </w:p>
    <w:p>
      <w:r>
        <w:t>2.13.  Stante quanto precede, il TCA, non potendo riconoscere la buona fede dellinsorgente, primo presupposto per ottenere un eventuale condono, deve confermare la decisione su reclamo del 25 novembre 2025 emanata dalla Cassa.</w:t>
      </w:r>
    </w:p>
    <w:p>
      <w:r>
        <w:t>A titolo abbondanziale va osservato che un'eventuale soluzione confacente alle esigenze dellassicurata deve essere concordata con la Cassa, come del resto evidenziato da questultima nella decisione su reclamo, menzionando ad esempio la possibilità di un pagamento rateizzato (cfr. doc. A1 pag. 3).</w:t>
      </w:r>
    </w:p>
    <w:p>
      <w:r>
        <w:t>Questo tema non è, comunque, oggetto della presente vertenza e pertanto il TCA non è tenuto ad occuparsene (cfr. DTF 123 V 230 consid. 3e; STCA 39.2019.3 del 17 ottobre 2019 consid. 2.10.; STCA 39.2009.1 del 10 settembre 2009 consid. 2.13.; STCA 39.2005.10 del 22 marzo 2006 consid. 2.21.).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 Il segretario di Camera</w:t>
      </w:r>
    </w:p>
    <w:p>
      <w:r>
        <w:t>Daniele Cattaneo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