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39.2025.5 vom 30. Oktober 2025</w:t>
      </w:r>
    </w:p>
    <w:p>
      <w:r>
        <w:t>TI Tribunale d'appello, 2025-10-30, IT</w:t>
      </w:r>
    </w:p>
    <w:p>
      <w:r>
        <w:rPr>
          <w:b/>
        </w:rPr>
        <w:t xml:space="preserve">Quelle: </w:t>
      </w:r>
      <w:r>
        <w:t>https://mcp.opencaselaw.ch/entscheid/ti_gerichte_39.2025.5</w:t>
      </w:r>
    </w:p>
    <w:p>
      <w:r>
        <w:t>FR: TI_GERICHTE 39.2025.5 du 30 octobre 2025</w:t>
      </w:r>
    </w:p>
    <w:p>
      <w:r>
        <w:t>IT: TI_GERICHTE 39.2025.5 del 30 ottobre 2025</w:t>
      </w:r>
    </w:p>
    <w:p>
      <w:pPr>
        <w:pStyle w:val="Heading2"/>
      </w:pPr>
      <w:r>
        <w:t>Regeste</w:t>
      </w:r>
    </w:p>
    <w:p>
      <w:r>
        <w:t>Calcolo AFI:se la pigione non è usuale ma molto bassa,il 15% della stessa non considera adeguatamente le spese accessorie. In concreto, manca accertamento x dimostrare che come ritenuto dall'amministrazione la pigione pagata dall’assic era usuale. Atti rinviati e ric. accolto su questo aspetto</w:t>
      </w:r>
    </w:p>
    <w:p>
      <w:pPr>
        <w:pStyle w:val="Heading2"/>
      </w:pPr>
      <w:r>
        <w:t>Erwägungen</w:t>
      </w:r>
    </w:p>
    <w:p>
      <w:r>
        <w:rPr>
          <w:b/>
        </w:rPr>
        <w:t>E. 1</w:t>
      </w:r>
    </w:p>
    <w:p>
      <w:r>
        <w:t>Richiamata la Laps, il genitore ha diritto all’assegno, per il figlio, se cumulativamente: a) è domiciliato nel Cantone al momento della richiesta; b) coabita, anche soltanto in forma parziale, con il figlio; c) ha il domicilio nel Cantone da almeno tre anni se cittadino svizzero; ha il domicilio nel Cantone da almeno cinque anni se cittadino straniero. 1bis Se l’unità di riferimento comprende un genitore cittadino svizzero ed esso dimostra di essere stato domiciliato nel Cantone durante dieci anni consecutivi prima di avervi fatto rientro in seguito ad un’assenza, non va adempiuto il termine d’attesa di cui al capoverso 1 lett. c)</w:t>
      </w:r>
    </w:p>
    <w:p>
      <w:r>
        <w:rPr>
          <w:b/>
        </w:rPr>
        <w:t>E. 2</w:t>
      </w:r>
    </w:p>
    <w:p>
      <w:r>
        <w:t>Se entrambi i genitori coabitano con il figlio, il diritto all’assegno spetta alla madre o al padre.</w:t>
      </w:r>
    </w:p>
    <w:p>
      <w:r>
        <w:rPr>
          <w:b/>
        </w:rPr>
        <w:t>E. 3</w:t>
      </w:r>
    </w:p>
    <w:p>
      <w:r>
        <w:t>Il reddito ipotetico minimo è pari al doppio della soglia di intervento per il titolare del diritto ai sensi della Laps.</w:t>
      </w:r>
    </w:p>
    <w:p>
      <w:r>
        <w:rPr>
          <w:b/>
        </w:rPr>
        <w:t>E. 4</w:t>
      </w:r>
    </w:p>
    <w:p>
      <w:r>
        <w:t>Negli altri casi la tassa di giustizia, quando è dovuta, è fissata tra 200 e 1’000 franchi.” L’art. 61 lett. a LPGA, in vigore fino al 31 dicembre 2020, prevedeva che la procedura deve essere semplice, rapida, di regola pubblica e gratuita per le parti ; la tassa di giudizio e le spese di procedura possono tuttavia essere imposte alla parte che ha un comportamento temerario o sconsiderato. Il 1° gennaio 2021 è entrata in vigore una modifica della LPGA. L’art. 61 lett. a LPGA enuncia ora unicamente che la procedura deve essere semplice, rapida e, di regola pubblica. Dalla medesima data è entrato in vigore l’art. 61 lett. fbis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In concreto, trattandosi del settore degli assegni familiari cantonali per il quale è applicabile in primis la Lptca e solo sussidiariamente la LPGA (per quanto non disposto dalla Lptca) e considerato il tenore dell’attuale art. 29 Lptca, come pure il fatto che il legislatore cantonale non abbia previsto in ogni caso di prelevare le spese nell’ambito degli assegni di famiglia (sul tema delle spese davanti al TCA cfr. il Messaggio Nr. 8480 del Consiglio di Stato del 21 agosto 2024 «Rapporto sull’iniziativa parlamentare presentata il 4 maggio 2021 nella forma elaborata da Lara Filippini e Sabrina Aldi per la modifica dell'art. 29 della Legge di procedura per le cause davanti al Tribunale cantonale delle assicurazioni (Lptca) del 23 giugno 2008 (Implementazione della revisione LPGA alle spese giudiziarie dinanzi al Tribunale cantonale delle assicurazioni) e controprogetto»), non si riscuotono spese giudiziarie (cfr. STCA 39.2025.1 del 7 aprile 2025 consid. 2.12.; STCA 39.2023.13 del 22 gennaio 2024 consid. 2.9.; STCA 39.2023.5 del 21 agosto 2023 consid. 2.9.; STCA 39.2022.6 del 24 gennaio 2023 consid. 2.11., il cui ricorso al TF è stato ritenuto inammissibile con giudizio 8C_61/2023 del 22 marzo 2023; STCA 39.2022.3 del 24 gennaio 2023 consid. 2.11.; STCA 39.2022.5 del 22 agosto 2022 consid. 2.14.; STCA 39.2022.2 del 3 giugno 2022 consid. 2.14.; STCA 39.2021.5-6 del 7 marzo 2022 consid. 2.8.). 2.12.  La richiesta del ricorrente volta alla concessione dell’ assistenza giudiziaria (cfr. all. e a doc. I) deve essere intesa, dunque, solo come domanda di gratuito patrocinio , visto che la procedura davanti al TCA in materia assegni familiari cantonali è gratuita (cfr. supra consid. 2.8.). L’insorgente, tuttavia, non può beneficiare del gratuito patrocinio non essendo rappresentato da un avvocato. In effetti il gratuito patrocinio, sia in ambito di procedura ricorsuale che amministrativa, può essere riconosciuto soltanto ad avvocato patentato (cfr. STF 8C_399/2007 del 23 aprile 2008 consid. 9.2.; STFA I 447/04 del 2 marzo 2005 consid. 4.2, citata in DTF 132 V 201 consid. 4.2 e DTF 132 V 206 consid. 5.1.4; STCA 38.2022.67 del 14 dicembre 2022 consid. 2.12.; STCA 42.2021.75 del 13 dicembre 2021 consid. 2.7.; STCA 42.2019.38 del 20 gennaio 2020 consid. 2.12.; STCA 38.2018.34 del 22 novembre 2018 consid. 2.9.; STCA 38.2016.17 del 25 maggio 2016 consid. 2.8.; STCA 38.2012.55 del 13 marzo 2013 consid. 2.12.; per quanto riguarda un avvocato non impiegato presso un’organizzazione riconosciuta di utilità pubblica e non iscritto in un albo cfr. DTF 132 V 206 consid. 5.1.4 = SVR 2006 IV Nr. 50 pag. 181).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