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39.2025.4</w:t>
      </w:r>
    </w:p>
    <w:p>
      <w:r>
        <w:t>TI Tribunale d'appello, IT</w:t>
      </w:r>
    </w:p>
    <w:p>
      <w:r>
        <w:rPr>
          <w:b/>
        </w:rPr>
        <w:t xml:space="preserve">Quelle: </w:t>
      </w:r>
      <w:r>
        <w:t>https://mcp.opencaselaw.ch/entscheid/ti_gerichte_39.2025.4</w:t>
      </w:r>
    </w:p>
    <w:p>
      <w:pPr>
        <w:pStyle w:val="Heading2"/>
      </w:pPr>
      <w:r>
        <w:t>Volltext</w:t>
      </w:r>
    </w:p>
    <w:p>
      <w:r>
        <w:t>Incarto n.39.2025.4</w:t>
      </w:r>
    </w:p>
    <w:p>
      <w:r>
        <w:t>rs</w:t>
      </w:r>
    </w:p>
    <w:p>
      <w:r>
        <w:t>Lugano</w:t>
      </w:r>
    </w:p>
    <w:p>
      <w:r>
        <w:t>13 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19 maggio 2025 di</w:t>
      </w:r>
    </w:p>
    <w:p>
      <w:r>
        <w:t>RI1</w:t>
      </w:r>
    </w:p>
    <w:p>
      <w:r>
        <w:t>contro</w:t>
      </w:r>
    </w:p>
    <w:p>
      <w:r>
        <w:t>la decisione su opposizione del 3 aprile 2025 emanata da</w:t>
      </w:r>
    </w:p>
    <w:p>
      <w:r>
        <w:t>CO1</w:t>
      </w:r>
    </w:p>
    <w:p>
      <w:r>
        <w:t>in materia di assegni di famiglia</w:t>
      </w:r>
    </w:p>
    <w:p>
      <w:r>
        <w:t>ritenutoin fatto</w:t>
      </w:r>
    </w:p>
    <w:p>
      <w:r>
        <w:t>1.4.  Il 10 giugno 2025 il presidente del TCA ha assegnato alle parti un termine di 10 giorni per presentare eventuali altri mezzi di prova (cfr. doc. V). Le parti sono rimaste silenti.</w:t>
      </w:r>
    </w:p>
    <w:p>
      <w:r>
        <w:t>consideratoin diritto</w:t>
      </w:r>
    </w:p>
    <w:p>
      <w:r>
        <w:t>Allorché devono pronunciarsi sulla legalità di un'ordinanza emanata in forza di una delega del Parlamento, i Tribunali, che esaminano di principio liberamente la questione, devono stabilire in che modo le relative disposizioni vanno inter­pretate e se sono conformi alla legge (cfr. DTF 136 V 258 consid. 4, pag. 264; SVR 2010 UV Nr. 9 consid. 8.2; SVR 2006 KV Nr. 28 consid. 4.2).</w:t>
      </w:r>
    </w:p>
    <w:p>
      <w:r>
        <w:t>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DTF 144 V 138 consid. 2.4.; STF 8C_739/2014 dell11 agosto 2015 consid. 6.3.; SVR 2006 KV Nr. 28, consid. 4.2; DTF 128 V 98 consid. 5a, 105 consid. 6a e riferimenti, STFA E 1/00 del 13 giugno 2003; DTF 117 V 180 consid. 3 a).</w:t>
      </w:r>
    </w:p>
    <w:p>
      <w:r>
        <w:t>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(cfr. DTF 144 V 138 consid. 2.4.; SVR 2006 KV Nr. 28, DTF 131 II 166 consid.2.3, DTF 131 V 14 consid. 3.4.1, DTF 130 V 473 consid. 6.1, DTF 130 I 32 consid. 2.2.1, DTF 129 II 164 consid.2.3; DTF 129 V 271 consid. 4.1.1).</w:t>
      </w:r>
    </w:p>
    <w:p>
      <w:r>
        <w:t>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w:t>
      </w:r>
    </w:p>
    <w:p>
      <w:r>
        <w:t>In una sentenza pubblicata in DTF 136 V 146 consid. 3.2.1 pag. 153 l'Alta Corte si è ad esempio così espressa:</w:t>
      </w:r>
    </w:p>
    <w:p>
      <w:r>
        <w:t>"L'art. 3b cpv. 1 OADInon può fondarsi sulla delega legislativa dell'art. 9b cpv. 6 LADI, che autorizza il Consiglio federale unicamente a disciplinare il prolungamento dei termini quadro in caso di collocamento di fanciulli in vista dell'adozione. Si tratta pertanto di una semplice disposizione d'esecuzione emanata in applicazione dell'art. 109 LADI, che incarica il Consiglio federale dell'emanazione delle norme esecutive della legge. Un'ordinanza di esecuzione può disciplinare solointra legem, e nonpraeter legem. Può stabilire delle regole complementari di procedura, precisare e dettagliare determinate disposizioni della legge, eventualmente colmare delle lacune in senso proprio; senza una delega espressa, non può per contro porre delle regole nuove suscettibili di restringere i diritti degli amministrati o di imporre loro degli obblighi, anche se le regole stesse sono ancora conformi allo scopo legale (DTF 134 I 313consid. 5.3 pag. 317 e i riferimenti citati)."</w:t>
      </w:r>
    </w:p>
    <w:p>
      <w:r>
        <w:t>Sulla portata delle direttive amministrative, cfr. DTF151 V 137 consid. 4.3.; STF 9C_230/2024 del 21 gennaio 2025 consid. 4.1.;STF 8C_425/2023 del 21 maggio 2024 consid. 4.3.;STF 8C_532/2023 del 17 aprile 2024 consid. 4.4.;STF 8C_228/2023 del 6 ottobre 2023 consid. 3.2.; STF 8C_141/2023 del 2 maggio 2023 consid. 4.1.; STF 8C_322/2022 del 30 gennaio 2023 consid. 4.3.1.; STF 8C_73/2022 del 26 gennaio 2023 consid. 4.3.2.-4.3.3.; STF 8C_769/2021 del 3 maggio 2022 consid. 3.3.; STF 9C_270/2021 del 30 dicembre 2021 consid. 3.5.; DTF 148 V 144 consid. 3.1.3.; DTF 147 V 79 consid. 7.3.2.; DTF 146 V 224; DTF 146 V 104; STF 9C_631/2019 del 19 giugno 2020 consid. 2.3.</w:t>
      </w:r>
    </w:p>
    <w:p>
      <w:r>
        <w:t>2.13.Lart. 61 lett. a LPGA, nel tenore 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Visto il diritto a ripetibili, la richiesta di ammissione allassistenza giudiziaria(cfr. doc. I pag. 9-10; consid. 1.2.)  laquale deve essere intesa solo comedomanda di assunzione delle spese di patrocinio, visto che la procedura davanti al TCA in materia di assistenza di famiglia è per principio gratuita (cfr. consid. 2.13.; art. 29 cpv. 1 Lptca) è diventata priva di oggetto (cfr.DTF 124 V 309, consid. 6 e, tra le tante, STF 8C_585/2021 del 6 gennaio 2022 consid. 7.1.; STF 9C_666/2017 del 6 settembre 2018 consid. 5.2.; STF 8C_756/2017 del 7 marzo 2018 consid. 6; STF 9C_335/2011 del 14 marzo 2012 consid. 5, STF 9C_206/2011 del 16 agosto 2011 consid. 5, STF 9C_352/2010 del 30 agosto 2010 consid. 3).</w:t>
      </w:r>
    </w:p>
    <w:p>
      <w:r>
        <w:t>Per questi motivi</w:t>
      </w:r>
    </w:p>
    <w:p>
      <w:r>
        <w:t>dichiara e pronuncia</w:t>
      </w:r>
    </w:p>
    <w:p>
      <w:r>
        <w:t>§   La decisione su opposizione del 3 aprile 2025 è annullata.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