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39.2023.7 vom 3. Februar 2023</w:t>
      </w:r>
    </w:p>
    <w:p>
      <w:r>
        <w:t>TI Tribunale d'appello, 2023-02-03, IT</w:t>
      </w:r>
    </w:p>
    <w:p>
      <w:r>
        <w:rPr>
          <w:b/>
        </w:rPr>
        <w:t xml:space="preserve">Quelle: </w:t>
      </w:r>
      <w:r>
        <w:t>https://mcp.opencaselaw.ch/entscheid/ti_gerichte_39.2023.7_d20230203</w:t>
      </w:r>
    </w:p>
    <w:p>
      <w:r>
        <w:t>FR: TI_GERICHTE 39.2023.7 du 3 février 2023</w:t>
      </w:r>
    </w:p>
    <w:p>
      <w:r>
        <w:t>IT: TI_GERICHTE 39.2023.7 del 3 febbraio 2023</w:t>
      </w:r>
    </w:p>
    <w:p>
      <w:pPr>
        <w:pStyle w:val="Heading2"/>
      </w:pPr>
      <w:r>
        <w:t>Regeste</w:t>
      </w:r>
    </w:p>
    <w:p>
      <w:r>
        <w:t>A ragione Cassa ha negato condono della restituz. di assegni integrativi richiesta a seeugito di attività lavorativa svolta da membro UR. Requisito della BF non adempiuto: non tempestivamente informata l'amministrazione</w:t>
      </w:r>
    </w:p>
    <w:p>
      <w:pPr>
        <w:pStyle w:val="Heading2"/>
      </w:pPr>
      <w:r>
        <w:t>Erwägungen</w:t>
      </w:r>
    </w:p>
    <w:p>
      <w:r>
        <w:rPr>
          <w:b/>
        </w:rPr>
        <w:t>E. 1</w:t>
      </w:r>
    </w:p>
    <w:p>
      <w:r>
        <w:t>Le persone che compongono l’unità di riferimento sono tenute a notificare tempestivamente agli organi amministrativi competenti per l’applicazione della legge e delle leggi speciali qualsiasi cambiamento importante sopraggiunto nelle condizioni determinanti per l’erogazione di una prestazione.</w:t>
      </w:r>
    </w:p>
    <w:p>
      <w:r>
        <w:rPr>
          <w:b/>
        </w:rPr>
        <w:t>E. 2</w:t>
      </w:r>
    </w:p>
    <w:p>
      <w:r>
        <w:t>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rPr>
          <w:b/>
        </w:rPr>
        <w:t>E. 2.9</w:t>
      </w:r>
    </w:p>
    <w:p>
      <w:r>
        <w:t>Alla luce di quanto sopra esposto, questa Corte, non potendo riconoscere la buona fede dei ricorrenti, primo presupposto per ottenere un eventuale condono, deve confermare la decisione su opposizione della Cassa del 6 giugno 2023. Mancando, infatti, la prima condizione cumulativa per ottenere il condono, non è necessario esaminare il presupposto dell'onere gravoso di cui all'art. 25 cpv. 1 LPGA (cfr. supra consid. 2.5.). 2.10.  In ambito di assegni familiari cantonali,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ed art. 46 Laf ). L’art. 29 Lptca enuncia: " 1 La procedura è gratuita per le parti.</w:t>
      </w:r>
    </w:p>
    <w:p>
      <w:r>
        <w:rPr>
          <w:b/>
        </w:rPr>
        <w:t>E. 3</w:t>
      </w:r>
    </w:p>
    <w:p>
      <w:r>
        <w:t>Alla parte che provoca la causa per leggerezza o per un comportamento temerario, sono imposte la tassa di giustizia e le spese di procedura.</w:t>
      </w:r>
    </w:p>
    <w:p>
      <w:r>
        <w:rPr>
          <w:b/>
        </w:rPr>
        <w:t>E. 4</w:t>
      </w:r>
    </w:p>
    <w:p>
      <w:r>
        <w:t>Negli altri casi la tassa di giustizia, quando è dovuta, è fissata tra 200 e 1’000 franchi.”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del settore degli assegni familiari cantonali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degli assegni di famiglia, non si riscuotono spese giudiziarie (cfr. STCA 39.2022.2 del 3 giugno 2022 consid. 2.14.; STCA 39.2021.5-6 del 7 marzo 2022 consid.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