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39.2023.2 vom 29. Dezember 2022</w:t>
      </w:r>
    </w:p>
    <w:p>
      <w:r>
        <w:t>TI Tribunale d'appello, 2022-12-29, IT</w:t>
      </w:r>
    </w:p>
    <w:p>
      <w:r>
        <w:rPr>
          <w:b/>
        </w:rPr>
        <w:t xml:space="preserve">Quelle: </w:t>
      </w:r>
      <w:r>
        <w:t>https://mcp.opencaselaw.ch/entscheid/ti_gerichte_39.2023.2_d20221229</w:t>
      </w:r>
    </w:p>
    <w:p>
      <w:r>
        <w:t>FR: TI_GERICHTE 39.2023.2 du 29 décembre 2022</w:t>
      </w:r>
    </w:p>
    <w:p>
      <w:r>
        <w:t>IT: TI_GERICHTE 39.2023.2 del 29 dicembre 2022</w:t>
      </w:r>
    </w:p>
    <w:p>
      <w:pPr>
        <w:pStyle w:val="Heading2"/>
      </w:pPr>
      <w:r>
        <w:t>Regeste</w:t>
      </w:r>
    </w:p>
    <w:p>
      <w:r>
        <w:t>Correttamente Cassa ha negato a ric. diritto a AF a favore della figlia con effetto retrattivo al 18.4.22 e ha ordinato restituz. di AF percepiti da 4/22 a 8/22. Da 18.4.22 avente diritto prioritario era infatti la madre. Ininfluente fatto che quest'ultima chiesto versamento AF solo da 1.5.22</w:t>
      </w:r>
    </w:p>
    <w:p>
      <w:pPr>
        <w:pStyle w:val="Heading2"/>
      </w:pPr>
      <w:r>
        <w:t>Erwägungen</w:t>
      </w:r>
    </w:p>
    <w:p>
      <w:r>
        <w:rPr>
          <w:b/>
        </w:rPr>
        <w:t>E. 18</w:t>
      </w:r>
    </w:p>
    <w:p>
      <w:r>
        <w:t>aprile 2022 e ha ordinato la restituzione degli assegni percepiti dal 18 aprile al 31 agosto 2022 per complessivi fr. 1'108.05. 2.2.  Ai sensi dell'art. 2 della legge federale sugli assegni familiari (LAFam) del 26 marzo 2006 (in vigore dal 1° giugno 2009), dedicato alla definizione e agli scopi degli assegni familiari, gli assegni familiari sono prestazioni in denaro, uniche o periodiche, versate per compensare parzialmente l'onere finanziario rappresentato da uno o più figli. L'art. 7 LAFam, relativo al concorso di diritti, stabilisce che: " 1 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 2 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L’art. 13 cpv. 1 LAFam prevede che hanno diritto agli assegni familiari i salariati assicurati obbligatoriamente all’AVS e dipendenti da un datore di lavoro assoggettato alla presente legge. Le prestazioni sono disciplinate dall’ordinamento sugli assegni familiari del Cantone di cui all’articolo 12 capoverso 2. Il diritto agli assegni nasce e si estingue con il diritto allo stipendio. Per il periodo successivo all’estinzione del diritto allo stipendio, il diritto agli assegni è disciplinato dal Consiglio federale. 2.3.  Le Direttive concernenti la legge federale sugli assegni familiari (DAFam), emanate dall'Ufficio federale delle assicurazioni sociali (UFAS) e valide dal 1° gennaio 2009 (stato 1° gennaio 2023, versione 21), a proposito degli art. 7 e 13 della legge,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 7 LAFam. 4.2 Determinazione dell'avente diritto prioritario 405     Priorità secondo la lettera a: 1/15    La persona che esercita un’attività lucrativa è prioritaria rispetto a quella senza attività lucrativa. Dal 1° gennaio 2013 – contrariamente a quanto precedentemente previsto da alcuni disciplinamenti cantonali – il diritto di un salariato non è più automaticamente prioritario rispetto a quello di un lavoratore indipendente. Nemmeno i Cantoni possono più stabilire una tale priorità. 406     Indicazioni generali sulla priorità secondo la lettera b o c: se 1/15    una persona con un’attività lucrativa (dipendente o indipendente) dimostra (presentando un accordo o la sentenza di un tribunale) di avere l’autorità parentale esclusiva o, in caso di autorità parentale congiunta, che il figlio vive prevalentemente nella sua economia domestica, non deve fornire indicazioni su altri eventuali aventi diritto. La priorità secondo la lettera b o c si applica anche se la persona presso cui il figlio vive prevalentemente esercita un’attività lucrativa indipendente e l’altra una dipendente. (…). 406.1  Priorità secondo la lettera c: 1/17   In caso di genitori separati, per valutare se il figlio vive prevalentemente con uno di loro o in ugual misura con entrambi bisogna basarsi di regola sulla sentenza del tribunale o sulla convenzione firmata dai genitori. Si può derogare a questa regola se effettivamente il figlio non vive o non vive più in ugual misura con entrambi i genitori. Non sono prese in considerazione lievi divergenze o brevi interruzioni (dovute ad es. ad obblighi professionali o ad assenze per vacanze). È inoltre irrilevante presso quale ufficio per il controllo abitanti sia annunciato il figlio.” (…). 504     - Il diritto nasce e cessa con il diritto al salario e sussiste solo 1/10      durante il periodo del rapporto di lavoro (per le eccezioni, v. N. 513 segg.). (…) (…) 506     Vengono corrisposti assegni familiari interi anche in caso di 1/13    lavoro a tempo parziale. Se un rapporto di lavoro inizia o cessa a mese iniziato, gli assegni familiari sono versati solo in misura proporzionale (v. N. 512). (…)” 2.4.  Le direttive amministrative non costituiscono norme giuri diche e non sono vincolanti per il giudice delle assicurazioni sociali (cfr.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8C_18/2017 del 4 maggio 2017 consid. 3.2.2.;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2.6.  Chiamata a pronunciarsi in merito alla fattispecie, questa Corte rileva innanzitutto che dalle carte processuali emerge, da una parte, che a RI 1, dipendente della __________, con decisioni del 4 agosto 2021 e dell’8 luglio 2022, sono stati attribuiti, in applicazione dell’art. 7 cpv. 1 lett. a LAFam (cfr. consid. 2.2.), gli assegni familiari di formazione ai sensi dell’art. 3 cpv. 1 lett. b LAFam a favore della figlia __________, nata il __________ 2005 (cfr. doc. 2 1/6; 2 5/6). Dall’altra, __________, madre di __________, con la quale vive (cfr. doc. 1 4/4), dal 18 aprile 2022 è impiegata presso __________ (cfr. doc. 1 3/4). Siccome __________ ha iniziato a svolgere un’attività lavorativa a far tempo dal 18 aprile 2022, da tale data il diritto agli assegni di formazione, in virtù dell’art. 7 cpv. 1 lett. c LAFam (cfr. consid. 2.2.), spetta dunque alla medesima, ritenuto che la figlia vive con lei. È vero che la madre di __________ ha chiesto gli assegni a partire dal 1° maggio 2022 (cfr. doc. 1 3/4). È altrettanto vero, tuttavia, che, come visto sopra (cfr. consid. 2.2.), la regolamentazione a cascata dell’art. 7 cpv. 1 LAFam non vale soltanto dall’introduzione della richiesta della seconda persona che fa valere un diritto all’assegno per lo stesso figlio, bensì già dal momento in cui quest’ultima ossequia le condizioni per avere diritto agli AF. Il comportamento degli aventi diritto non modifica l’ordine legale di cui all’art. 7 LAFam che determina a chi spettino prioritariamente gli assegni. Dai materiali legislativi traspare, peraltro, la volontà del legislatore di non accordare ai genitori un diritto di scelta in merito a chi debba percepire gli assegni. Di conseguenza è escluso che l’avente diritto che segue nell’ordine di priorità si sostituisca all’avente diritto prioritario allorché quest’ultimo si astenga dal far valere il suo diritto (cfr. DTF 139 V 429 consid. 4.2.; 4.3.; DTF 142 V 583 consid. 4.2.). Ne discende che a ragione la Cassa ha limitato il diritto agli assegni familiari del ricorrente al 17 aprile 2022. 2.7.  Visto che già dal 18 aprile 2022 l’avente diritto prioritario agli assegni familiari è la madre di __________, l’insorgente, d a un profilo oggettivo, ha effettivamente ricevuto indebitamente gli AF dal 18 aprile al 31 agosto 2022. In concreto sono, perciò, dati i presupposti per rivedere le decisioni iniziali di attribuzione degli AF all’insorgente e risultano così realizzate le condizioni per quanto attiene al principio della restituzione delle prestazioni percepite a torto durante il periodo 18 aprile – 31 agosto 2022 (cfr. consid. 2.5.). Del resto nella DTF 139 V 429, già menzionata sopra (cfr. consid. 2.2.; 2.6.), l’Alta Corte ha deciso che quando viene stabilito che una seconda persona ha diritto ai sensi dell’art. 7 cpv. 1 LAFam agli AF con effetto retroattivo, gli arretrati devono esserle versati, mentre la persona che ha indebitamente percepito la prestazione è tenuta a restituirla (cfr. pure STF 8C_22/2015 del 5 maggio 2015 consid. 3.4.). Giova, altresì, ricordare che è tenuto alla restituzione ogni assicurato che ha beneficiato di una prestazione, alla quale, oggettivamente,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Pertanto a questo stadio della causa la questione di sapere se il ricorrente abbia o meno violato il proprio dovere di informare risulta irrilevante. 2.8.  A proposito dell’importo da restituire, va considerato che l’insorgente non ha diritto agli assegni di formazione già dal 18 aprile (cfr. consid. 2.6.) e fino al 31 agosto 2022. Di conseguenza la somma chiesta in restituzione dalla Cassa di fr. 1’108.05, che corrisponde, oltre che agli assegni di formazione percepiti da maggio ad agosto 2022 pari a fr. 1'000.-- (fr. 250 x 4 mesi; cfr. art. 5 cpv. 2 LAFam; doc. 2 5/6), anche all’importo di AF ricevuto per l’arco di tempo dal 18 al 30 aprile 2022 di fr. 108.05 (fr. 250 – fr. 141.95 riconosciutigli per il periodo 1° - 17 aprile 2022; cfr. doc. 2 5/6) - ossia l’ammontare mensile ridotto proporzionalmente -, si rivela corretta. Va evidenziato che nella decisione del 29 dicembre 2022 la parte resistente ha indicato che “gli assegni familiari di cui alla presente decisione potranno essere oggetto di compensazione con gli assegni familiari che saranno riconosciuti a nome della signora __________” (cfr. all. A2 a doc. I; consid. 1.1.). Nella decisione su opposizione è stato specificato che “per l’eventuale compensazione, il signor RI 1 e la signora __________ dovranno regolare la questione tramite la __________” (cfr. all. A1 a doc. I; consid. 1.3.). Al riguardo è utile evidenziare che l’art. 25 lett. d LAFam enuncia che l’art. 20 LAVS si applica per analogia alla compensazione. Giusta l’art. 20 cpv. 2 lett. a LAVS possono essere compensati con prestazioni scadute i crediti derivanti dalla presente legge, dalla LAI, dalla legge federale del 25 settembre 1952 sulle indennità di perdita di guadagno in caso di servizio militare o di protezione civile e dalla legge federale del 20 giugno 1952 sugli assegni familiari nell’agricoltura. Le DAFam, dal canto loro, al p.to 538.4 prevedono, da un lato, che in determinati situazioni è possibile procedere a una compensazione tra le Casse, ad esempio in caso di concorso di diritti, se gli assegni familiari sono stati versati erroneamente al secondo avente diritto. Dall’altro, che in tali casi, la Cassa che avrebbe dovuto versare gli assegni familiari trasferisce l’importo dovuto direttamente alla Cassa che li ha versati indebitamente. La condizione è che gli aventi diritto interessati abbiano dato il loro consenso a questa procedura. Sono fatte salve le situazioni di cui ai N. 510.2 (situazione in cui non è sicuro che il primo avente diritto raggiunga effettivamente il salario minimo richiesto sull’anno intero o in cui egli ha sempre rapporti di lavoro di breve durata presso datori di lavoro diversi) e 529 (assicurato con più datori di lavoro dove non è chiaro fin dal principio quale datore di lavoro versi il salario più elevato o con più datori di lavoro che versano salari identici) che non riguardano ad ogni modo la concreta fattispecie. 2.9.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