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39.2022.9 vom 5. Oktober 2022</w:t>
      </w:r>
    </w:p>
    <w:p>
      <w:r>
        <w:t>TI Tribunale d'appello, 2022-10-05, IT</w:t>
      </w:r>
    </w:p>
    <w:p>
      <w:r>
        <w:rPr>
          <w:b/>
        </w:rPr>
        <w:t xml:space="preserve">Quelle: </w:t>
      </w:r>
      <w:r>
        <w:t>https://mcp.opencaselaw.ch/entscheid/ti_gerichte_39.2022.9_d20221005</w:t>
      </w:r>
    </w:p>
    <w:p>
      <w:r>
        <w:t>FR: TI_GERICHTE 39.2022.9 du 5 octobre 2022</w:t>
      </w:r>
    </w:p>
    <w:p>
      <w:r>
        <w:t>IT: TI_GERICHTE 39.2022.9 del 5 ottobre 2022</w:t>
      </w:r>
    </w:p>
    <w:p>
      <w:pPr>
        <w:pStyle w:val="Heading2"/>
      </w:pPr>
      <w:r>
        <w:t>Regeste</w:t>
      </w:r>
    </w:p>
    <w:p>
      <w:r>
        <w:t>Negato diritto AF a favore del figlio (9-10/'19) e chiesta restituzione fr.350. In quei mesi madre deteneva ancora custodia benché figlio trasferitosi dal padre. Ciò non è sufficiente però per automaticamente e con effetto immediato procedere a cambiamento titolarità AF. Date cond. riconsiderazione</w:t>
      </w:r>
    </w:p>
    <w:p>
      <w:pPr>
        <w:pStyle w:val="Heading2"/>
      </w:pPr>
      <w:r>
        <w:t>Erwägungen</w:t>
      </w:r>
    </w:p>
    <w:p>
      <w:r>
        <w:rPr>
          <w:b/>
        </w:rPr>
        <w:t>E. 1</w:t>
      </w:r>
    </w:p>
    <w:p>
      <w:r>
        <w:t>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w:t>
      </w:r>
    </w:p>
    <w:p>
      <w:r>
        <w:rPr>
          <w:b/>
        </w:rPr>
        <w:t>E. 2</w:t>
      </w:r>
    </w:p>
    <w:p>
      <w:r>
        <w:t>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2.3.  Le Direttive concernenti la legge federale sugli assegni familiari (DAFam), emanate dall'Ufficio federale delle assicurazioni sociali (UFAS) e valide dal 1° gennaio 2009 (stato 1° gennaio 2023, versione 21), a proposito dell'art. 7 della legge, ai p.ti 401.1 e 404.1 introdotti nel gennaio 2014 nonché 406.2 inserito nel gennaio 2017,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w:t>
      </w:r>
    </w:p>
    <w:p>
      <w:r>
        <w:rPr>
          <w:b/>
        </w:rPr>
        <w:t>E. 7</w:t>
      </w:r>
    </w:p>
    <w:p>
      <w:r>
        <w:t>LAFam. (…) 406.1  Priorità secondo la lettera c: 1/17   In caso di genitori separati, per valutare se il figlio vive prevalentemente con uno di loro o in ugual misura con entrambi bisogna basarsi di regola sulla sentenza del tribunale o sulla convenzione firmata dai genitori. Si può derogare a questa regola se effettivamente il figlio non vive o non vive più in ugual misura con entrambi i genitori. Non sono prese in considerazione lievi divergenze o brevi interruzioni (dovute ad es. ad obblighi professionali o ad assenze per vacanze). È inoltre irrilevante presso quale ufficio per il controllo abitanti sia annunciato il figlio.” 2.4.  Le direttive amministrative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8C_18/2017 del 4 maggio 2017 consid. 3.2.2.;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2.6.  Nella presente evenienza dalle carte processuali emerge che dalla relazione tra l’assicurato e __________ il __________ 2006 è nato il figlio __________. Il 3 maggio 2012 il ricorrente e la madre di __________, allora conviventi, ma in seguito separatisi, hanno stipulato davanti alla Commissione tutoria regionale __________, sede __________, un contratto per l’obbligo del mantenimento di minori e le relazioni personali e una convenzione per l’esercizio dell’autorità parentale congiunta, prevedenti, tra l’altro, in caso di separazione, l’affidamento del figlio alla custodia materna, l’autorità parentale congiunta e un contributo paterno al mantenimento del figlio di fr. 300.-- mensili, oltre agli AF (cfr. doc. B1). Quando l’assicurato e __________ si sono separati, __________ è stato quindi affidato alla custodia materna. Nel settembre 2019 il figlio si è trasferito presso il domicilio del padre contro il volere della madre, la quale ha adito l’Autorità di protezione per ottenere il suo reintegro al domicilio materno. Il ricorrente, dal canto suo, l’8 novembre 2019, ha presentato alla Pretura un’istanza di conciliazione con contestuali richieste di misure super- e cautelari per la modifica del contratto di mantenimento del 3 maggio 2012, postulando in particolare l’affidamento a sé di __________ (cfr. doc. B1). Con decisione provvisionale del 19 maggio 2020 il Pretore aggiunto del Distretto di __________, __________, ha omologato la seguente disciplina relazionale e di mantenimento: " 1.1.   Il figlio __________ (__________.2006) è provvisoriamente affidato alla custodia del padre. L’autorità parentale resta congiunta. Le relazioni personali della madre con il figlio __________, attualmente bloccate, dovranno evolvere verso un assetto usuale, ossia quello fissato all’udienza del 6 dicembre 2019 (un fine settimana su due dal venerdì sera al lunedì mattina, nonché una cena infrasettimanale, il mercoledì). 1.2.    La madre, __________, versa nelle mani del padre, __________ mensilmente: - l’assegno famigliare attualmente percepito (CHF 200.--) - l’importo di CHF 200.-- e continua a pagare il premio mensile della cassa malati di __________. 1.3.    Il primo versamento è per il mese di maggio 2020, entro il 15 del mese, i successivi entro il 5 del mese, in via anticipata. 1.4.    L’obbligo di mantenimento in capo al padre per effetto del contratto di mantenimento 3 maggio 2012 (CHF 300.-- mensili; doc. B) è sospeso a partire dal mese di novembre 2019.” (Doc. 5 3/4) Nel mese di giugno 2021 il ricorrente ha inoltrato alla Cassa il formulario “Richiesta di assegni familiari per persone attive in qualità di indipendenti” a partire dal 1° settembre 2019 (cfr. doc. 3). Per quanto riguarda l’anno 2019, l’Amministrazione ha riconosciuto all’assicurato il diritto agli AF per i mesi da settembre a dicembre con decisione del 22 settembre 2021 (cfr. doc. 6). Con decisione del 5 ottobre 2022 la Cassa ha poi limitato la validità del provvedimento del 22 settembre 2021 ai mesi di novembre e dicembre 2019, ordinando la restituzione dell’importo di fr. 350.-- corrispondenti agli AF ricevuti dal 3 settembre al 31 ottobre 2019, poiché la madre di __________ ne aveva custodia ai sensi dell’art. 7 cpv. 1 lett. c LAFam fino alla fine di ottobre 2019. E’ stato precisato che l’ammontare di fr. 350.-- sarebbe stato recuperato direttamente tramite la Cassa __________, in quanto l’importo di AF era stato posto a compensazione di contributi arretrati dovuti dall’assicurato (cfr. doc. 7; consid. 1.1.). Tale provvedimento è stato confermato con decisione su opposizione del 10 novembre 2022 (cfr. doc. A1; consid. 1.3.). L’insorgente ha censurato il modo di procedere dell’amministrazione, affermando in buona sostanza che il figlio gli sarebbe stato affidato dal 3 settembre 2019 (cfr. doc. I; V). 2.7.  Chiamata a pronunciarsi in merito alla fattispecie, questa Corte osserva innanzitutto che la presente lite concerne la lettera c dell’art. 7 cpv. 1 LAFam (il diritto spetta alla persona presso la quale il figlio vive prevalentemente). Non risulta, invece, alcuna contestazione circa l’adempimento da parte dei genitori dei presupposti di cui alla lettera a e b del capoverso 1 dell’art. 7 LAFam (attività lucrativa da parte di entrambi e autorità parentale congiunta; cfr. doc. 5; I; V). Per quanto attiene all’art. 7 cpv. 1 lett. c LAFam è utile evidenziare che il concetto del luogo dove vive prevalentemente il figlio previsto all’art. 7 cpv. 1 lett. c LAFam si indirizza al principio della custodia, e meglio la persona presso la quale abita il figlio e che provvede ai suoi bisogni primari quotidiani deve poter beneficiare degli assegni familiari. Determinanti sono innanzitutto le circostanze fattuali. Visto, però, che spesso le stesse possono essere chiarite con difficoltà, è possibile fondarsi su dei documenti come, tra l’altro, gli accordi di mantenimento, le convenzioni di divorzio o disposizioni dell’autorità. Si giustifica un esame a lungo termine, poiché delle deroghe di poco conto o delle brevi interruzioni della regolamentazione non sono rilevanti (cfr. DTF 144 V 299 consid. 5.2.1). Inoltre ai fini dell’applicabilità dell’art. 7 cpv. 2 lett. c LAFam non è determinante il domicilio ai sensi del diritto civile. Ci si dovesse basare sul domicilio, a cui il tenore del disposto legale non fa peraltro alcun riferimento, non vi sarebbe infatti spazio per un esame secondo la lettera c (cfr. DTF 144 V 299 consid. 5.2.3). In concreto, tenuto conto di quanto esposto al precedente considerando, il TCA ritiene che l’assicurato, nei mesi di settembre e ottobre 2019, non avesse diritto agli AF a favore di __________. In effetti dopo la separazione tra l’insorgente e __________, la custodia del figlio è stata affidata alla madre conformemente a quanto stipulato il 3 maggio 2012 davanti alla Commissione tutoria regionale __________ (cfr. doc. B1; consid. 2.6.). Quando nel settembre 2019 __________ si è trasferito dal padre contro la volontà della madre, quest’ultima ne aveva legalmente la custodia. Al riguardo giova evidenziare che __________ in tale frangente si è rivolta all’ARP proprio per far rientrare il minore da lei in rispetto alla convenzione del maggio 2012 (cfr. doc. B1; consid. 2.6.). Inoltre il ricorrente era comunque ancora tenuto a corrispondere il contributo di mantenimento per il figlio. Solo l’8 novembre 2019 l’assicurato ha inoltrato alla Pretura un’istanza di conciliazione con richieste di misure super- e cautelari per la modifica del contrato di mantenimento del 3 maggio 2012 (cfr. doc. B1; consid. 2.6.). Nel maggio 2020 il Pretore aggiunto, ritenuto lo statu quo relativo all’effettiva residenza di __________ presso il ricorrente, ha poi provvisoriamente affidato il figlio alla custodia del padre, sospendendo a far tempo dal mese di novembre 2019 l’obbligo di mantenimento a carico dell’assicurato (cfr. doc. 5; consid. 2.6.). Del resto solo a dicembre 2019 è stato fissato l’assetto delle relazioni personali, quale diritto di visita (un fine settimana su due dal venerdì sera al lunedì mattina, nonché una cena infrasettimanale, il mercoledì), tra la madre e __________, come risulta dalla decisione del 19 maggio 2020 emessa dal Pretore aggiunto di __________ (cfr. doc. 5 3/4; consid. 2.6.). Ne discende che nei mesi di settembre e di ottobre 2019 non vi è stata una modifica della custodia ex art. 7 cpv. 1 lett. c LAFam, la quale in quel periodo era affidata alla madre di __________. La sola circostanza che da settembre 2019 il figlio si fosse trasferito dal padre non è sufficiente per automaticamente e con effetto immediato procedere a un cambiamento della titolarità della custodia di cui all’art. 7 cpv. 1 lett. c LAFam. Nemmeno la Dichiarazione del 29 ottobre 2019 del Pretore aggiunto __________ (cfr. doc. A2) consente di giungere a una soluzione differente della presente vertenza. Il Pretore aggiunto, attestando che “con decisione 19 maggio 2020 di questo giudice, il minore __________ (24.01.2006), figlio di RI 1 e __________ è stato formalmente affidato alla custodia del padre, RI 1, presso il quale egli risiede tuttora (e dal settembre 2019)” (Doc. A2), ha unicamente ribadito, da un lato, che __________ si trovava presso il padre dal settembre 2019 - circostanza non posta in dubbio -, dall’altro, che ad ogni modo l’affidamento formale (giudiziario) del figlio all’insorgente ha avuto luogo soltanto nel maggio 2020. 2.8.  In esito a quanto sopra, occorre concludere che la decisione del 22 settembre 2021 della parte resistente di accordare assegni familiari all’assicurato per il 2019 da settembre a dicembre 2019 (cfr. doc. 6; consid. 1.1.) era manifestamente errata, in particolare tenendo conto, da una parte, che in virtù del contratto stipulato tra il ricorrente e __________ nel maggio 2012 la custodia di __________ dopo la separazione era affidata a quest’ultima, dall’altra, che la semplice modifica del luogo di residenza del figlio a far tempo dal settembre 2019, peraltro recisamente contestata dalla madre che ha adito l’Autorità di protezione al riguardo (cfr. doc. B1; consid. 2.6.), non giustificava il cambiamento della custodia giusta l’art. 7 cpv. 1 lett. c LAFam. Inoltre, tutto ben considerato, la rettifica nell’ottobre 2022 del provvedimento emesso poco più di un anno prima, il 22 settembre 2021, risultava, con riferimento all’attribuzione di 350.-- corrispondenti in ogni caso a due mensilità degli assegni familiari, di notevole importanza. In proposito è utile rilevare che per determinare se una correzione è di importanza rilevante vanno, in effetti,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C 44/02 del 6 giugno 2002; DTF 107 V 180.). La decisione del 22 settembre 2021 poteva, conseguentemente, essere riconsiderata (cfr. consid. 2.5.) tramite l’emanazione della decisione del 5 ottobre 2022 (cfr. doc. 7; consid. 1.1.). La nuova decisione dell’amministrazione di negare all’insorgente il diritto ad AF per i mesi di settembre e ottobre 2019 non presta, dunque, il fianco a critiche. 2.9.  Ne consegue che in concreto sono realizzate le condizioni per quanto attiene al principio della restituzione di prestazioni percepite indebitamente durante i mesi di settembre e ottobre 2019 (cfr. consid. 2.5.).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A proposito dell’importo da restituire, va considerato che l’insorgente non ha diritto agli assegni familiari durante i mesi di settembre e ottobre 2019 Di conseguenza la somma chiesta in restituzione dalla Cassa di fr. 350.--, corrispondenti agli AFI percepiti a settembre e ottobre 2019, dedotte le imposte alla fonte (cfr. doc. 7 pag. 3), si rivela corretta. L’insorgente non ha peraltro sollevato obiezioni a questo specifico riguardo. Va evidenziato che la parte resistente ha indicato che l’importo sarebbe stato recuperato direttamente tramite la Cassa __________, in quanto l’ammontare di AF era stato posto a compensazione di contributi arretrati dovuti dall’assicurato (cfr. doc. 7; consid. 1.1.). Nemmeno a tale proposito il ricorrente ha fatto valere censure particolari. La decisione su opposizione del 10 novembre 2022 deve, pertanto, essere confermata.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