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39.2022.9 vom 6. Februar 2023</w:t>
      </w:r>
    </w:p>
    <w:p>
      <w:r>
        <w:t>TI Tribunale d'appello, 2023-02-06, IT</w:t>
      </w:r>
    </w:p>
    <w:p>
      <w:r>
        <w:rPr>
          <w:b/>
        </w:rPr>
        <w:t xml:space="preserve">Quelle: </w:t>
      </w:r>
      <w:r>
        <w:t>https://mcp.opencaselaw.ch/entscheid/ti_gerichte_39.2022.9</w:t>
      </w:r>
    </w:p>
    <w:p>
      <w:r>
        <w:t>FR: TI_GERICHTE 39.2022.9 du 6 février 2023</w:t>
      </w:r>
    </w:p>
    <w:p>
      <w:r>
        <w:t>IT: TI_GERICHTE 39.2022.9 del 6 febbraio 2023</w:t>
      </w:r>
    </w:p>
    <w:p>
      <w:pPr>
        <w:pStyle w:val="Heading2"/>
      </w:pPr>
      <w:r>
        <w:t>Erwägungen</w:t>
      </w:r>
    </w:p>
    <w:p>
      <w:r>
        <w:rPr>
          <w:b/>
        </w:rPr>
        <w:t>E. 1</w:t>
      </w:r>
    </w:p>
    <w:p>
      <w:r>
        <w:t>Q 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w:t>
      </w:r>
    </w:p>
    <w:p>
      <w:r>
        <w:rPr>
          <w:b/>
        </w:rPr>
        <w:t>E. 2</w:t>
      </w:r>
    </w:p>
    <w:p>
      <w:r>
        <w:t>Se i diritti agli assegni familiari del primo e del secondo avente diritto sono retti da ordinamenti di due diversi Cantoni, il secondo avente diritto ha diritto all'importo per il quale il minimo legale previsto nel suo Cantone supera quello dell’altro Cantone."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(cfr. pure STF 8C_22/2015 del 5 maggio 2015 consid. 3.4.). 2.3.  Le Direttive concernenti la legge federale sugli assegni familiari (DAFam), emanate dall'Ufficio federale delle assicurazioni sociali (UFAS) e valide dal 1° gennaio 2009 (stato 1° gennaio 2023, versione 21), a proposito dell'art. 7 della legge, ai p.ti 401.1 e 404.1 introdotti nel gennaio 2014 nonché 406.2 inserito nel gennaio 2017, enunciano: “401.1 Le disposizioni dell'articolo 7 LAFam sono applicabili 1/14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 v. DTF 139 V 429 del 5 luglio 2013, consid. 4.2 seg.) . 404.1  Un accordo o una sentenza di divorzio può stabilire a chi spetti 1/14   in ultima analisi l’importo dell’assegno familiare ed eventualmente per quale scopo esso venga utilizzato (pagamento dei premi dell’assicurazione malattie, abbigliamento ecc.). Il primo avente diritto invece è sempre determinato dalla CAF conformemente all’articolo</w:t>
      </w:r>
    </w:p>
    <w:p>
      <w:r>
        <w:rPr>
          <w:b/>
        </w:rPr>
        <w:t>E. 7</w:t>
      </w:r>
    </w:p>
    <w:p>
      <w:r>
        <w:t>LAFam. (…) 406.1  Priorità secondo la lettera c: 1/17   In caso di genitori separati, per valutare se il figlio vive prevalentemente con uno di loro o in ugual misura con entrambi bisogna basarsi di regola sulla sentenza del tribunale o sulla convenzione firmata dai genitori. Si può derogare a questa regola se effettivamente il figlio non vive o non vive più in ugual misura con entrambi i genitori. Non sono prese in considerazione lievi divergenze o brevi interruzioni (dovute ad es. ad obblighi professionali o ad assenze per vacanze). È inoltre irrilevante presso quale ufficio per il controllo abitanti sia annunciato il figlio.” 2.4.  Le direttive amministrative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2.5.  L’art. 25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 del 19 ottobre 2022 consid. 5.2.;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8C_18/2017 del 4 maggio 2017 consid. 3.2.2.;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2.6.  Nella presente evenienza dalle carte processuali emerge che dalla relazione tra l’assicurato e __________ il __________ 2006 è nato il figlio __________. Il 3 maggio 2012 il ricorrente e la madre di __________, allora conviventi, ma in seguito separatisi, hanno stipulato davanti alla Commissione tutoria regionale __________, sede __________, un contratto per l’obbligo del mantenimento di minori e le relazioni personali e una convenzione per l’esercizio dell’autorità parentale congiunta, prevedenti, tra l’altro, in caso di separazione, l’affidamento del figlio alla custodia materna, l’autorità parentale congiunta e un contributo paterno al mantenimento del figlio di fr. 300.-- mensili, oltre agli AF (cfr. doc. B1). Quando l’assicurato e __________ si sono separati, __________ è stato quindi affidato alla custodia materna. Nel settembre 2019 il figlio si è trasferito presso il domicilio del padre contro il volere della madre, la quale ha adito l’Autorità di protezione per ottenere il suo reintegro al domicilio materno. Il ricorrente, dal canto suo, l’8 novembre 2019, ha presentato alla Pretura un’istanza di conciliazione con contestuali richieste di misure super- e cautelari per la modifica del contratto di mantenimento del 3 maggio 2012, postulando in particolare l’affidamento a sé di __________ (cfr. doc. B1). Con decisione provvisionale del 19 maggio 2020 il Pretore aggiunto del Distretto di __________, __________, ha omologato la seguente disciplina relazionale e di mantenimento: " 1.1.   Il figlio __________ (__________.2006) è provvisoriamente affidato alla custodia del padre. L’autorità parentale resta congiunta. Le relazioni personali della madre con il figlio __________, attualmente bloccate, dovranno evolvere verso un assetto usuale, ossia quello fissato all’udienza del 6 dicembre 2019 (un fine settimana su due dal venerdì sera al lunedì mattina, nonché una cena infrasettimanale, il mercoledì). 1.2.    La madre, __________, versa nelle mani del padre, __________ mensilmente: - l’assegno famigliare attualmente percepito (CHF 200.--) - l’importo di CHF 200.-- e continua a pagare il premio mensile della cassa malati di __________. 1.3.    Il primo versamento è per il mese di maggio 2020, entro il 15 del mese, i successivi entro il 5 del mese, in via anticipata. 1.4.    L’obbligo di mantenimento in capo al padre per effetto del contratto di mantenimento 3 maggio 2012 (CHF 300.-- mensili; doc. B) è sospeso a partire dal mese di novembre 2019.” (Doc. 5 3/4) Nel mese di giugno 2021 il ricorrente ha inoltrato alla Cassa il formulario “Richiesta di assegni familiari per persone attive in qualità di indipendenti” a partire dal 1° settembre 2019 (cfr. doc. 3). Per quanto riguarda l’anno 2019, l’Amministrazione ha riconosciuto all’assicurato il diritto agli AF per i mesi da settembre a dicembre con decisione del 22 settembre 2021 (cfr. doc. 6). Con decisione del 5 ottobre 2022 la Cassa ha poi limitato la validità del provvedimento del 22 settembre 2021 ai mesi di novembre e dicembre 2019, ordinando la restituzione dell’importo di fr. 350.-- corrispondenti agli AF ricevuti dal 3 settembre al 31 ottobre 2019, poiché la madre di __________ ne aveva custodia ai sensi dell’art. 7 cpv. 1 lett. c LAFam fino alla fine di ottobre 2019. E’ stato precisato che l’ammontare di fr. 350.-- sarebbe stato recuperato direttamente tramite la Cassa __________, in quanto l’importo di AF era stato posto a compensazione di contributi arretrati dovuti dall’assicurato (cfr. doc. 7; consid. 1.1.). Tale provvedimento è stato confermato con decisione su opposizione del 10 novembre 2022 (cfr. doc. A1; consid. 1.3.). L’insorgente ha censurato il modo di procedere dell’amministrazione, affermando in buona sostanza che il figlio gli sarebbe stato affidato dal 3 settembre 2019 (cfr. doc. I; V). 2.7.  Chiamata a pronunciarsi in merito alla fattispecie, questa Corte osserva innanzitutto che la presente lite concerne la lettera c dell’art. 7 cpv. 1 LAFam (il diritto spetta alla persona presso la quale il figlio vive prevalentemente). Non risulta, invece, alcuna contestazione circa l’adempimento da parte dei genitori dei presupposti di cui alla lettera a e b del capoverso 1 dell’art. 7 LAFam (attività lucrativa da parte di entrambi e autorità parentale congiunta; cfr. doc. 5; I; V). Per quanto attiene all’art. 7 cpv. 1 lett. c LAFam è utile evidenziare che il concetto del luogo dove vive prevalentemente il figlio previsto all’art. 7 cpv. 1 lett. c LAFam si indirizza al principio della custodia, e meglio la persona presso la quale abita il figlio e che provvede ai suoi bisogni primari quotidiani deve poter beneficiare degli assegni familiari. Determinanti sono innanzitutto le circostanze fattuali. Visto, però, che spesso le stesse possono essere chiarite con difficoltà, è possibile fondarsi su dei documenti come, tra l’altro, gli accordi di mantenimento, le convenzioni di divorzio o disposizioni dell’autorità. Si giustifica un esame a lungo termine, poiché delle deroghe di poco conto o delle brevi interruzioni della regolamentazione non sono rilevanti (cfr. DTF 144 V 299 consid. 5.2.1). Inoltre ai fini dell’applicabilità dell’art. 7 cpv. 2 lett. c LAFam non è determinante il domicilio ai sensi del diritto civile. Ci si dovesse basare sul domicilio, a cui il tenore del disposto legale non fa peraltro alcun riferimento, non vi sarebbe infatti spazio per un esame secondo la lettera c (cfr. DTF 144 V 299 consid. 5.2.3). In concreto, tenuto conto di quanto esposto al precedente considerando, il TCA ritiene che l’assicurato, nei mesi di settembre e ottobre 2019, non avesse diritto agli AF a favore di __________. In effetti dopo la separazione tra l’insorgente e __________, la custodia del figlio è stata affidata alla madre conformemente a quanto stipulato il 3 maggio 2012 davanti alla Commissione tutoria regionale __________ (cfr. doc. B1; consid. 2.6.). Quando nel settembre 2019 __________ si è trasferito dal padre contro la volontà della madre, quest’ultima ne aveva legalmente la custodia. Al riguardo giova evidenziare che __________ in tale frangente si è rivolta all’ARP proprio per far rientrare il minore da lei in rispetto alla convenzione del maggio 2012 (cfr. doc. B1; consid. 2.6.). Inoltre il ricorrente era comunque ancora tenuto a corrispondere il contributo di mantenimento per il figlio. Solo l’8 novembre 2019 l’assicurato ha inoltrato alla Pretura un’istanza di conciliazione con richieste di misure super- e cautelari per la modifica del contrato di mantenimento del 3 maggio 2012 (cfr. doc. B1; consid. 2.6.). Nel maggio 2020 il Pretore aggiunto, ritenuto lo statu quo relativo all’effettiva residenza di __________ presso il ricorrente, ha poi provvisoriamente affidato il figlio alla custodia del padre, sospendendo a far tempo dal mese di novembre 2019 l’obbligo di mantenimento a carico dell’assicurato (cfr. doc. 5; consid. 2.6.). Del resto solo a dicembre 2019 è stato fissato l’assetto delle relazioni personali, quale diritto di visita (un fine settimana su due dal venerdì sera al lunedì mattina, nonché una cena infrasettimanale, il mercoledì), tra la madre e __________, come risulta dalla decisione del 19 maggio 2020 emessa dal Pretore aggiunto di __________ (cfr. doc. 5 3/4; consid. 2.6.). Ne discende che nei mesi di settembre e di ottobre 2019 non vi è stata una modifica della custodia ex art. 7 cpv. 1 lett. c LAFam, la quale in quel periodo era affidata alla madre di __________. La sola circostanza che da settembre 2019 il figlio si fosse trasferito dal padre non è sufficiente per automaticamente e con effetto immediato procedere a un cambiamento della titolarità della custodia di cui all’art. 7 cpv. 1 lett. c LAFam. Nemmeno la Dichiarazione del 29 ottobre 2019 del Pretore aggiunto __________ (cfr. doc. A2) consente di giungere a una soluzione differente della presente vertenza. Il Pretore aggiunto, attestando che “con decisione 19 maggio 2020 di questo giudice, il minore __________ (24.01.2006), figlio di RI 1 e __________ è stato formalmente affidato alla custodia del padre, RI 1, presso il quale egli risiede tuttora (e dal settembre 2019)” (Doc. A2), ha unicamente ribadito, da un lato, che __________ si trovava presso il padre dal settembre 2019 - circostanza non posta in dubbio -, dall’altro, che ad ogni modo l’affidamento formale (giudiziario) del figlio all’insorgente ha avuto luogo soltanto nel maggio 2020. 2.8.  In esito a quanto sopra, occorre concludere che la decisione del 22 settembre 2021 della parte resistente di accordare assegni familiari all’assicurato per il 2019 da settembre a dicembre 2019 (cfr. doc. 6; consid. 1.1.) era manifestamente errata, in particolare tenendo conto, da una parte, che in virtù del contratto stipulato tra il ricorrente e __________ nel maggio 2012 la custodia di __________ dopo la separazione era affidata a quest’ultima, dall’altra, che la semplice modifica del luogo di residenza del figlio a far tempo dal settembre 2019, peraltro recisamente contestata dalla madre che ha adito l’Autorità di protezione al riguardo (cfr. doc. B1; consid. 2.6.), non giustificava il cambiamento della custodia giusta l’art. 7 cpv. 1 lett. c LAFam. Inoltre, tutto ben considerato, la rettifica nell’ottobre 2022 del provvedimento emesso poco più di un anno prima, il 22 settembre 2021, risultava, con riferimento all’attribuzione di 350.-- corrispondenti in ogni caso a due mensilità degli assegni familiari, di notevole importanza. In proposito è utile rilevare che per determinare se una correzione è di importanza rilevante vanno, in effetti, esaminate le circostanze specifiche di ogni caso concreto, prendendo in considerazione anche il lasso di tempo intercorso dall’emanazione della decisione errata. Non esistono importi limite determinati e generali. Nel caso di prestazioni periodiche la rilevanza è praticamente sempre ammessa, mentre nelle prestazioni puntuali secondo la prassi il limite è posto a qualche centinaia di franchi (cfr. STF 8C_18/2017 del 4 maggio 2017 consid. 3.2.2.; STFA C 44/02 del 6 giugno 2002; DTF 107 V 180.). La decisione del 22 settembre 2021 poteva, conseguentemente, essere riconsiderata (cfr. consid. 2.5.) tramite l’emanazione della decisione del 5 ottobre 2022 (cfr. doc. 7; consid. 1.1.). La nuova decisione dell’amministrazione di negare all’insorgente il diritto ad AF per i mesi di settembre e ottobre 2019 non presta, dunque, il fianco a critiche. 2.9.  Ne consegue che in concreto sono realizzate le condizioni per quanto attiene al principio della restituzione di prestazioni percepite indebitamente durante i mesi di settembre e ottobre 2019 (cfr. consid. 2.5.).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A proposito dell’importo da restituire, va considerato che l’insorgente non ha diritto agli assegni familiari durante i mesi di settembre e ottobre 2019 Di conseguenza la somma chiesta in restituzione dalla Cassa di fr. 350.--, corrispondenti agli AFI percepiti a settembre e ottobre 2019, dedotte le imposte alla fonte (cfr. doc. 7 pag. 3), si rivela corretta. L’insorgente non ha peraltro sollevato obiezioni a questo specifico riguardo. Va evidenziato che la parte resistente ha indicato che l’importo sarebbe stato recuperato direttamente tramite la Cassa __________, in quanto l’ammontare di AF era stato posto a compensazione di contributi arretrati dovuti dall’assicurato (cfr. doc. 7; consid. 1.1.). Nemmeno a tale proposito il ricorrente ha fatto valere censure particolari. La decisione su opposizione del 10 novembre 2022 deve, pertanto, essere confermata.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