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39.2022.6 vom 24. Januar 2023</w:t>
      </w:r>
    </w:p>
    <w:p>
      <w:r>
        <w:t>TI Tribunale d'appello, 2023-01-24, IT</w:t>
      </w:r>
    </w:p>
    <w:p>
      <w:r>
        <w:rPr>
          <w:b/>
        </w:rPr>
        <w:t xml:space="preserve">Quelle: </w:t>
      </w:r>
      <w:r>
        <w:t>https://mcp.opencaselaw.ch/entscheid/ti_gerichte_39.2022.6</w:t>
      </w:r>
    </w:p>
    <w:p>
      <w:r>
        <w:t>FR: TI_GERICHTE 39.2022.6 du 24 janvier 2023</w:t>
      </w:r>
    </w:p>
    <w:p>
      <w:r>
        <w:t>IT: TI_GERICHTE 39.2022.6 del 24 gennaio 2023</w:t>
      </w:r>
    </w:p>
    <w:p>
      <w:pPr>
        <w:pStyle w:val="Heading2"/>
      </w:pPr>
      <w:r>
        <w:t>Erwägungen</w:t>
      </w:r>
    </w:p>
    <w:p>
      <w:r>
        <w:rPr>
          <w:b/>
        </w:rPr>
        <w:t>E. 1</w:t>
      </w:r>
    </w:p>
    <w:p>
      <w:r>
        <w:t>Le persone che compongono l’unità di riferimento ed i loro datori di lavoro devono collaborare gratuitamente all’esecuzione della legge e delle leggi speciali.</w:t>
      </w:r>
    </w:p>
    <w:p>
      <w:r>
        <w:rPr>
          <w:b/>
        </w:rPr>
        <w:t>E. 2</w:t>
      </w:r>
    </w:p>
    <w:p>
      <w:r>
        <w:t>Le persone che compongono l’unità di riferimento devono fornire gratuitamente tutte le informazioni ed i documenti necessari per accertare il diritto e stabilire le prestazioni previste dalla legge e dalle leggi speciali.</w:t>
      </w:r>
    </w:p>
    <w:p>
      <w:r>
        <w:rPr>
          <w:b/>
        </w:rPr>
        <w:t>E. 2.5</w:t>
      </w:r>
    </w:p>
    <w:p>
      <w:r>
        <w:t>2.8.  Da quanto sopra discende che per poter decidere in merito alla domanda di AFI/API formulata dalla ricorrente nell’aprile 2022 __________ deve essere inserito nella sua unità economica. L’amministrazione necessita, di conseguenza, di avere accesso anche alle informazioni personali e finanziarie di quest’ultimo, le quali però non le sono state fornite nonostante le richieste da parte del Comune di __________ (cfr. doc. 1Z4; 1X4) e la diffida della Cassa del 6 maggio 2021 (recte: 2022), in cui è stato precisato che “conformemente a quanto prescritto nell’art. 43 LPGA, con questa lettera la diffidiamo a farci pervenire quanto richiesto entro il 20 maggio 2022. Se entro questo termine non otterremo un riscontro da parte sua, nostro malgrado ci vedremo costretti a dover decidere in base agli atti o a chiudere l’inchiesta di non entrare in materia” (cfr. doc. 3; cfr. consid. 2.2.). Di conseguenza con il suo agire la ricorrente ha violato l’obbligo di collaborazione previsto dall’art. 21 Lap (cfr. consid. 2.2.), mettendo la Cassa nella situazione di non poter emanare una decisione di merito. Non è, quindi, censurabile il modo di procedere dell’amministrazione che, giusta gli artt. 43 LPGA e 14 cpv. 3 Reg.Laps (cfr. consid. 2.2.), non è entrata in materia sulla domanda di assegni integrativi e di prima infanzia formulata dall’insorgente nel mese di aprile 2022. 2.9.  La ricorrente, nel ricorso, ha chiesto che “sia indetta una pubblica udienza (art.</w:t>
      </w:r>
    </w:p>
    <w:p>
      <w:r>
        <w:rPr>
          <w:b/>
        </w:rPr>
        <w:t>E. 3</w:t>
      </w:r>
    </w:p>
    <w:p>
      <w:r>
        <w:t>Il reddito ipotetico minimo è pari al doppio della soglia di intervento per il titolare del diritto ai sensi della Laps.</w:t>
      </w:r>
    </w:p>
    <w:p>
      <w:r>
        <w:rPr>
          <w:b/>
        </w:rPr>
        <w:t>E. 4</w:t>
      </w:r>
    </w:p>
    <w:p>
      <w:r>
        <w:t>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L’art. 54 Laf enuncia inoltre che: " L’importo massimo dell’assegno corrisponde alle soglie d’intervento definite dalla Laps corrispondenti al numero dei membri dell’unità di riferimento.” Dal tenore di queste norme legali, risulta che la Laf, per il calcolo dell’assegno integrativo e dell’assegno di prima infanzia, rinvia alla Legge sull’armonizzazione e il coordinamento delle prestazioni sociali (Laps). 2.4.  Ai sensi dell’art. 4 Laps, applicabile anche nell’ambito dell’assegno integrativo e dell’assegno di prima infanzia (cfr. art. 2 lett. f e g Laps):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enuncia poi che: " La convivenza è considerata stabile se, alternativamente: a) vi sono figli in comune; b) la convivenza procura gli stessi vantaggi di un matrimonio; c) la convivenza è durata almeno</w:t>
      </w:r>
    </w:p>
    <w:p>
      <w:r>
        <w:rPr>
          <w:b/>
        </w:rPr>
        <w:t>E. 6</w:t>
      </w:r>
    </w:p>
    <w:p>
      <w:r>
        <w:t>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9C_172/2022 del 7 luglio 2022 consid. 3.1.1.; STF 9C_335/2021del</w:t>
      </w:r>
    </w:p>
    <w:p>
      <w:r>
        <w:rPr>
          <w:b/>
        </w:rPr>
        <w:t>E. 9</w:t>
      </w:r>
    </w:p>
    <w:p>
      <w:r>
        <w:t>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39.2021.5-6 del 7 marzo 2022 consid. 2.6.; 38.2020.10 del 6 luglio 2020 consid. 2.9.; STCA 38.2018.31 del 12 ottobre 2018 consid. 2.7.; STCA 38.2018.39 del 10 ottobre 2018 consid. 2.8. Nel caso di specie la ricorrente ha formulato un'esplicita richiesta di indire una pubblica udienza ex art. 6 CEDU (cfr. doc. I). Si può in ogni caso prescindere dall’indire un pubblico dibattimento allorché risulta evidente, anche senza il medesimo, in particolare che un ricorso è infondato o inammissibile (cfr. STF 8C_352/2022 del 7 novembre 2022 consid. 2.2.; 3.2.1.; STF 9C_172/2022 del 7 luglio 2022 consid. 3.1.2.; STF 8C_69/2020 del 21 febbraio 2020 consid. 4.4.; STF 8C_63/2019, 8C_65/2019 dell’11 giugno 2019 consid. 5.2.; STF 8C_528/2017 del 19 dicembre 2017, pubblicata in SJ 2018 I 275; STF 9C_350/2016 del 4 maggio 2017 consid. 1.1.; STF 8C_504/2010 del 2 febbraio 2011 consid. 1.3.; STCA 38.2018.23 del 16 luglio 2018 consid. 2.9.). Nella STF 8C_352/2022 del 7 novembre 2022 consid. 3.2.1., appena menzionata, l’Alta Corte ha precisato che si può pure rinunciare al pubblico dibattimento quando una decisione dell’amministrazione è motivata in modo convincente, mentre il ricorso presenta argomentazioni non pertinenti o comunque non rilevanti per la risoluzione della questione litigiosa. Lo stesso vale nel caso in cui venga fatta valere una pretesa assolutamente non prevista dalla legge oppure allorché in discussione vi sia un quesito giuridico la cui risposta risulta già dalla giurisprudenza del TF pubblicata. In questi casi il ricorso in prima istanza va, infatti, già dall’inizio qualificato come senza possibilità di successo. In concreto, poiché, da un lato, già dagli elementi fattuali del caso di specie riguardanti la ricorrente e __________ che hanno un figlio in comune (cfr. consid. 2.6.; 2.7.) è possibile desumere che tra i medesimi sussista una convivenza stabile, dall’altro, la decisione su reclamo della Cassa si rivela fondata su considerazioni convincenti, come il fatto che __________ nel giugno 2022 davanti all’ARP __________ abbia dichiarato di voler essere parte e sostenere il nucleo familiare (cfr. doc. A1; consid. 1.1.), mentre l’impugnativa dell’8 luglio 2022 e le osservazioni del 17 agosto 2022 si avvalgono di argomenti in casu non rilevanti per decidere in merito all’esistenza di una convivenza stabile ai sensi degli art. 4 cpv. 1 lett. c Laps e 2a Reg.Laps (in particolare la circostanza che al Comune di __________ la presenza di __________ nell’abitazione dell’insorgente sia stata formalmente segnalata solo per il periodo dall’8 al 30 aprile 2022, rispettivamente che __________ dinanzi all’ARP __________ non abbia fatto riferimento al sostentamento familiare; cfr. doc. I; A3; consid. 1.2.; 1.4.), l’infondatezza dell’impugnativa è risultata manifesta già al momento dell’inoltro del ricorso.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in esito a quanto esposto, si prescinde pertanto di indire un pubblico dibattimento. L’insorgente ha peraltro potuto far valere le proprie argomentazioni per iscritto in ossequio dell’art. 29 cpv. 2 Cost. che garantisce il diritto di essere sentito (cfr. STF 8C_550/2017 del 12 gennaio 2018) davanti, in particolare, a questa Corte che gode di pieno potere d’esame in fatto e in diritto (cfr. STF 9C_407/2022 del 24 novembre 2022 consid. 3.3.; STF 9C_569/2020 del 4 gennaio 2022 consid. 3.1., STF 8C_127/2019 del 5 agosto 2019 consid. 3.3.). Al riguardo cfr. STCA 39.2021.5-6 del 7 marzo 2022 consid. 2.6. 2.10.  Alla luce di quanto precede il TCA deve confermare la decisione su reclamo dell’8 luglio 2022. 2.11.  In ambito di assegni familiari cantonali ,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 "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 3 Alla parte che provoca la causa per leggerezza o per un comportamento temerario, sono imposte la tassa di giustizia e le spese di procedura. "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39.2022.5 del 22 agosto 2022 consid. 2.14.; STCA 39.2022.2 del 3 giugno 2022 consid. 2.14.; STCA 39.2021.5-6 del 7 marzo 2022 co ns 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