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39.2020.3 vom 6. März 2020</w:t>
      </w:r>
    </w:p>
    <w:p>
      <w:r>
        <w:t>TI Tribunale d'appello, 2020-03-06, IT</w:t>
      </w:r>
    </w:p>
    <w:p>
      <w:r>
        <w:rPr>
          <w:b/>
        </w:rPr>
        <w:t xml:space="preserve">Quelle: </w:t>
      </w:r>
      <w:r>
        <w:t>https://mcp.opencaselaw.ch/entscheid/ti_gerichte_39.2020.3</w:t>
      </w:r>
    </w:p>
    <w:p>
      <w:r>
        <w:t>FR: TI_GERICHTE 39.2020.3 du 6 mars 2020</w:t>
      </w:r>
    </w:p>
    <w:p>
      <w:r>
        <w:t>IT: TI_GERICHTE 39.2020.3 del 6 marzo 2020</w:t>
      </w:r>
    </w:p>
    <w:p>
      <w:pPr>
        <w:pStyle w:val="Heading2"/>
      </w:pPr>
      <w:r>
        <w:t>Erwägungen</w:t>
      </w:r>
    </w:p>
    <w:p>
      <w:r>
        <w:rPr>
          <w:b/>
        </w:rPr>
        <w:t>E. 47</w:t>
      </w:r>
    </w:p>
    <w:p>
      <w:r>
        <w:t>Laf stabilisce come segue le condizioni per potere beneficiare dell'assegno integrativo:</w:t>
      </w:r>
    </w:p>
    <w:p>
      <w:r>
        <w:t>"Richiamata la Laps, il genitore ha diritto allassegno, per il figlio, se cumulativamente:</w:t>
      </w:r>
    </w:p>
    <w:p>
      <w:r>
        <w:t>a) è domiciliato nel Cantone al momento della richiesta;</w:t>
      </w:r>
    </w:p>
    <w:p>
      <w:r>
        <w:t>b) coabita, anche soltanto in forma parziale, con il figlio;</w:t>
      </w:r>
    </w:p>
    <w:p>
      <w:r>
        <w:t>Se entrambi i genitori coabitano con il figlio, il diritto allassegno spetta alla madre o al padre. (cpv. 2)</w:t>
      </w:r>
    </w:p>
    <w:p>
      <w:r>
        <w:t>Se almeno uno dei membri dellunità di riferimento esercita unattività lucrativa indipendente, è computato al minimo un reddito aziendale netto pari ad almeno il doppio della soglia dintervento per il titolare del diritto ai sensi della Laps. In ogni caso, il reddito aziendale netto computato non può essere inferiore a quello che figura sulla più recente notifica di tassazione cresciuta in giudicato. (cpv. 3)</w:t>
      </w:r>
    </w:p>
    <w:p>
      <w:r>
        <w:t>Ai sensi, poi, dellart. 49 Laf, relativo allimporto massimo dellassegno:</w:t>
      </w:r>
    </w:p>
    <w:p>
      <w:r>
        <w:t>"Limporto massimo dellassegno corrisponde alle soglie di intervento per i figli così definite, in deroga alla Laps:</w:t>
      </w:r>
    </w:p>
    <w:p>
      <w:r>
        <w:t>a) per il primo ed il secondo figlio: fr. 9150.;</w:t>
      </w:r>
    </w:p>
    <w:p>
      <w:r>
        <w:t>b) per il terzo ed il quarto figlio: fr. 6100.;</w:t>
      </w:r>
    </w:p>
    <w:p>
      <w:r>
        <w:t>c) per ogni ulteriore figlio: fr. 3050..</w:t>
      </w:r>
    </w:p>
    <w:p>
      <w:r>
        <w:t>Dallimporto erogabile vanno dedotti gli eventuali assegni per figli e di formazione. (cpv. 2)</w:t>
      </w:r>
    </w:p>
    <w:p>
      <w:r>
        <w:t>Il Consiglio di Stato determina se ed in che misura le soglie di cui al cpv. 1 vengono adeguate. (cpv. 3)</w:t>
      </w:r>
    </w:p>
    <w:p>
      <w:r>
        <w:t>Dal tenore di queste norme legali, risulta che la Laf, per il calcolo dellassegno integrativo, rinvia alla Legge sullarmonizzazione e il coordinamento delle prestazioni sociali (Laps).</w:t>
      </w:r>
    </w:p>
    <w:p>
      <w:r>
        <w:t>2.5.   Il titolare ha diritto alle prestazioni sociali di complemento armonizzate fino a quando la somma fra il reddito disponibile residuale della sua unità di riferimento, le riduzioni dei premi nellassicurazione obbligatoria delle cure medico-sanitarie, di cui beneficiano le persone facenti parte della sua unità di riferimento, la copertura dei costi generali e gli importi supplementari per ogni figlio a carico previsti dalla Legge sugli aiuti allo studio del 23 febbraio 2015, di cui beneficiano le persone facenti parte della sua unità di riferimento, e le prestazioni sociali di complemento di cui essa beneficia non raggiunge la soglia di intervento (art. 11 cpv. 1 Laps).</w:t>
      </w:r>
    </w:p>
    <w:p>
      <w:r>
        <w:t>Se, nellambito della medesima prestazione sociale, la somma delle prestazioni di cui potrebbero beneficiare i singoli membri dellunità di riferimento che ne hanno fatto richiesta supera la soglia dintervento, ad ogni membro spetta una quota proporzionale (art. 11 cpv. 2 Laps).</w:t>
      </w:r>
    </w:p>
    <w:p>
      <w:r>
        <w:t>Il reddito disponibile residuale è pari alla differenza tra la somma dei redditi computabili e la somma delle spese computabili delle persone componenti lunità di riferimento (art. 5 Laps).</w:t>
      </w:r>
    </w:p>
    <w:p>
      <w:r>
        <w:t>Esso viene determinato tenendo conto della situazione finanziaria dellunità di riferimento esistente al momento del deposito della richiesta. Il regolamento definisce e disciplina i casi particolari (art. 10a Laps).</w:t>
      </w:r>
    </w:p>
    <w:p>
      <w:r>
        <w:t>Lart. 6 Laps regolamenta il reddito computabile:</w:t>
      </w:r>
    </w:p>
    <w:p>
      <w:r>
        <w:t>"Il reddito computabile è costituito dai seguenti redditi:</w:t>
      </w:r>
    </w:p>
    <w:p>
      <w:r>
        <w:t>a)   i redditi ai sensi degli art. 15-22 della Legge tributaria del 21 giugno 1994 (LT), ad esclusione dei redditi imposti separatamente in virtù degli art. 36 cpv. 1, 38 cpv. 1 e 57 cpv. 1 LT;</w:t>
      </w:r>
    </w:p>
    <w:p>
      <w:r>
        <w:t>b)</w:t>
      </w:r>
    </w:p>
    <w:p>
      <w:r>
        <w:t>c)</w:t>
      </w:r>
    </w:p>
    <w:p>
      <w:r>
        <w:t>d)   i proventi ricevuti in virtù della legislazione federale sulle prestazioni complementari allassicurazione per la vecchiaia, i superstiti e linvalidità;</w:t>
      </w:r>
    </w:p>
    <w:p>
      <w:r>
        <w:t>e)   tutte le rendite riconosciute ai sensi della Legge federale sullassicurazione militare federale del 19 giugno 1992;</w:t>
      </w:r>
    </w:p>
    <w:p>
      <w:r>
        <w:t>f)    1/15 della sostanza netta, nella misura in cui supera CHF 100'000.-- per labitazione primaria e, per le altre forme di sostanza, CHF 10'000.-- per una persona sola, CHF 20'000.-- per una coppia (coniuge o partner registrati o conviventi) e CHF 2'000.-- per ogni figlio minorenne o maggiorenne non economicamente indipendente facente parte dellunità di riferimento. (cpv. 1)</w:t>
      </w:r>
    </w:p>
    <w:p>
      <w:r>
        <w:t>Fanno parte dei redditi computabili le entrate e le parti di sostanza, mobiliare e immobiliare, alle quali il richiedente ha rinunciato. (cpv. 2)</w:t>
      </w:r>
    </w:p>
    <w:p>
      <w:r>
        <w:t>Non sono considerati redditi le prestazioni sociali ai sensi della presente legge. (cpv. 3)</w:t>
      </w:r>
    </w:p>
    <w:p>
      <w:r>
        <w:t>Il Consiglio di Stato determina in quale misura vanno computati i redditi dei minorenni. (cpv. 4)</w:t>
      </w:r>
    </w:p>
    <w:p>
      <w:r>
        <w:t>La spesa computabile è, invece, costituita dalla somma delle spese vincolate e dalla spesa per lalloggio (art. 7 Laps).</w:t>
      </w:r>
    </w:p>
    <w:p>
      <w:r>
        <w:t>Ai sensi dellart. 8 Laps:</w:t>
      </w:r>
    </w:p>
    <w:p>
      <w:r>
        <w:t>"La spesa vincolata è costituita dalle seguenti spese:</w:t>
      </w:r>
    </w:p>
    <w:p>
      <w:r>
        <w:t>a)   le spese ai sensi degli art. 25-31 LT. Il Consiglio di Stato determina in quale misura vengono computate le spese per il conseguimento del reddito delle persone con attività lucrativa salariata;</w:t>
      </w:r>
    </w:p>
    <w:p>
      <w:r>
        <w:t>b)   gli interessi maturati su debiti ammessi in deduzione di cui allart. 32 cpv. 1 lett. a LT;</w:t>
      </w:r>
    </w:p>
    <w:p>
      <w:r>
        <w:t>c)   le rendite e gli oneri permanenti di cui allart. 32 cpv. 1 lett. c LT;</w:t>
      </w:r>
    </w:p>
    <w:p>
      <w:r>
        <w:t>d)   gli alimenti di cui allart. 32 cpv. 1 lett. b</w:t>
      </w:r>
    </w:p>
    <w:p>
      <w:r>
        <w:t>e)   i versamenti, premi e contributi per acquisire diritti contrattuali in forme riconosciute della previdenza individuale vincolata di cui allart. 32 cpv. 1 lett. e LT versati da persone che esercitano unattività lucrativa indipendente o dipendente, se queste ultime non sono affiliate obbligatoriamente al secondo pilastro;</w:t>
      </w:r>
    </w:p>
    <w:p>
      <w:r>
        <w:t>g)   i premi ordinari per lassicurazione obbligatoria contro le malattie vigenti al momento della richiesta, ma al massimo fino al raggiungimento dellimporto del premio medio di riferimento;</w:t>
      </w:r>
    </w:p>
    <w:p>
      <w:r>
        <w:t>h)   i premi per lassicurazione della perdita di guadagno in caso di malattia o in caso di infortunio delle persone non obbligatoriamente assicurate.</w:t>
      </w:r>
    </w:p>
    <w:p>
      <w:r>
        <w:t>i)</w:t>
      </w:r>
    </w:p>
    <w:p>
      <w:r>
        <w:t>j)     (cpv. 1)</w:t>
      </w:r>
    </w:p>
    <w:p>
      <w:r>
        <w:t>Le spese di cui allart. 31 LT e gli interessi maturati sui debiti di cui al cpv. 1 lett. b vengono riconosciuti sino ai seguenti importi:</w:t>
      </w:r>
    </w:p>
    <w:p>
      <w:r>
        <w:t>a)   per le spese e gli interessi passivi sui debiti privati fino allimporto complessivo dei redditi della sostanza contemplati dagli art. 19 e 20 LT, maggiorato di 3000 fr.;</w:t>
      </w:r>
    </w:p>
    <w:p>
      <w:r>
        <w:t>b)   per i debiti derivanti dallesercizio dellattività professionale, limporto effettivo degli interessi. (cpv. 2)</w:t>
      </w:r>
    </w:p>
    <w:p>
      <w:r>
        <w:t>Lart. 9 Laps riguarda la spesa per lalloggio:</w:t>
      </w:r>
    </w:p>
    <w:p>
      <w:r>
        <w:t>"La spesa per lalloggio è computata fino ad un massimo di:</w:t>
      </w:r>
    </w:p>
    <w:p>
      <w:r>
        <w:t>a) per le unità di riferimento      importo riconosciuto dalla legislazione</w:t>
      </w:r>
    </w:p>
    <w:p>
      <w:r>
        <w:t>composte da una persona:        sulle prestazioni complementari</w:t>
      </w:r>
    </w:p>
    <w:p>
      <w:r>
        <w:t>allAVS/AI per la persona sola</w:t>
      </w:r>
    </w:p>
    <w:p>
      <w:r>
        <w:t>b) per le unità di riferimento      importo riconosciuto dalla legislazione</w:t>
      </w:r>
    </w:p>
    <w:p>
      <w:r>
        <w:t>composte da due persone         sulle prestazioni complementari</w:t>
      </w:r>
    </w:p>
    <w:p>
      <w:r>
        <w:t>allAVS/AI per i coniugi</w:t>
      </w:r>
    </w:p>
    <w:p>
      <w:r>
        <w:t>c) per le unità di riferimento       importo riconosciuto dalla legislazione</w:t>
      </w:r>
    </w:p>
    <w:p>
      <w:r>
        <w:t>composte da più di due             sulle prestazioni complementari</w:t>
      </w:r>
    </w:p>
    <w:p>
      <w:r>
        <w:t>persone:                                     allAVS/AI per i coniugi maggiorati</w:t>
      </w:r>
    </w:p>
    <w:p>
      <w:r>
        <w:t>del 20%</w:t>
      </w:r>
    </w:p>
    <w:p>
      <w:r>
        <w:t>(cpv. 1)</w:t>
      </w:r>
    </w:p>
    <w:p>
      <w:r>
        <w:t>Se una persona che non fa parte dellunità di riferimento convive con uno dei suoi membri, dalla spesa per lalloggio viene dedotta la quota parte imputabile al convivente (cpv. 2).</w:t>
      </w:r>
    </w:p>
    <w:p>
      <w:r>
        <w:t>Lart. 10 cpv. 1 lett. b LPC prevede che limporto massimo annuo riconosciuto delle spese per pigione è di fr. 13'200.-- per le persone sole (cifra 1) e di fr. 15'000.-- per coniugi e le persone con orfani che hanno diritto a una rendita o con figli che danno diritto a una rendita per figli dellAVS o dellAI (cifra 2).</w:t>
      </w:r>
    </w:p>
    <w:p>
      <w:r>
        <w:t>a)per il titolare del diritto: fr. 17441.--;</w:t>
      </w:r>
    </w:p>
    <w:p>
      <w:r>
        <w:t>b)per la prima persona supplementare dellunità di riferimento:</w:t>
      </w:r>
    </w:p>
    <w:p>
      <w:r>
        <w:t>fr. 8'591.--;</w:t>
      </w:r>
    </w:p>
    <w:p>
      <w:r>
        <w:t>c)per la seconda persona supplementare dellunità di riferimento:</w:t>
      </w:r>
    </w:p>
    <w:p>
      <w:r>
        <w:t>fr. 6'402.--;</w:t>
      </w:r>
    </w:p>
    <w:p>
      <w:r>
        <w:t>d)per la terza persona supplementare dellunità di riferimento:</w:t>
      </w:r>
    </w:p>
    <w:p>
      <w:r>
        <w:t>fr. 4'896.--;</w:t>
      </w:r>
    </w:p>
    <w:p>
      <w:r>
        <w:t>e)per la quarta e ogni ulteriore persona supplementare dellunità di riferimento: fr. 4'879.--.</w:t>
      </w:r>
    </w:p>
    <w:p>
      <w:r>
        <w:t>2Il Consiglio di Stato determina se ed in che misura le soglie di cui al cpv. 1 vengono adeguate.</w:t>
      </w:r>
    </w:p>
    <w:p>
      <w:r>
        <w:t>In effetti, da una parte, lart. 6 cpv. 1 lett. a) Laps indica quali redditi devono essere considerati facendo riferimento ai redditi previsti agli art. 15-22 della Legge tributaria (reddito da attività dipendente, reddito da attività indipendente, reddito da sostanza mobiliare, redito da sostanza immobiliare, redditi da fonti previdenziali).</w:t>
      </w:r>
    </w:p>
    <w:p>
      <w:r>
        <w:t>Dallaltra, giusta lart. 10a Laps la situazione finanziaria al momento dellinoltro di una domanda di prestazioni deve, in ogni caso, sempre essere accertata. I dati già dichiarati al fisco sono utilizzati come ausilio prezioso (cfr. Messaggio n. 5221 del 13 marzo 2002 relativo alla modifica della Laps, pag. 15).</w:t>
      </w:r>
    </w:p>
    <w:p>
      <w:r>
        <w:t>Di conseguenza il reddito disponibile residuale, che è pari alla differenza tra la somma dei redditi computabili (tra cui il reddito da attività dipendente; cfr. art. 6 cpv. 1 lett. a) Laps; art. 16 LT) e la somma delle spese computabili delle persone componenti l'unità di riferimento (cfr. art. 5 Laps), viene fissato tenendo conto della situazione finanziaria dellunità di riferimento esistente al momento del deposito della richiesta (cfr. art. 10a Laps).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