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39.2019.4 vom 16. Oktober 2019</w:t>
      </w:r>
    </w:p>
    <w:p>
      <w:r>
        <w:t>TI Tribunale d'appello, 2019-10-16, IT</w:t>
      </w:r>
    </w:p>
    <w:p>
      <w:r>
        <w:rPr>
          <w:b/>
        </w:rPr>
        <w:t xml:space="preserve">Quelle: </w:t>
      </w:r>
      <w:r>
        <w:t>https://mcp.opencaselaw.ch/entscheid/ti_gerichte_39.2019.4</w:t>
      </w:r>
    </w:p>
    <w:p>
      <w:r>
        <w:t>FR: TI_GERICHTE 39.2019.4 du 16 octobre 2019</w:t>
      </w:r>
    </w:p>
    <w:p>
      <w:r>
        <w:t>IT: TI_GERICHTE 39.2019.4 del 16 ottobre 2019</w:t>
      </w:r>
    </w:p>
    <w:p>
      <w:pPr>
        <w:pStyle w:val="Heading2"/>
      </w:pPr>
      <w:r>
        <w:t>Volltext</w:t>
      </w:r>
    </w:p>
    <w:p>
      <w:r>
        <w:t>__________Raccomandata</w:t>
      </w:r>
    </w:p>
    <w:p>
      <w:r>
        <w:t>Incarto n.39.2019.4</w:t>
      </w:r>
    </w:p>
    <w:p>
      <w:r>
        <w:t>dc/sc</w:t>
      </w:r>
    </w:p>
    <w:p>
      <w:r>
        <w:t>Lugano</w:t>
      </w:r>
    </w:p>
    <w:p>
      <w:r>
        <w:t>16 ottobre 2019</w:t>
      </w:r>
    </w:p>
    <w:p>
      <w:r>
        <w:t>In nomedella Repubblica e CantoneTicino</w:t>
      </w:r>
    </w:p>
    <w:p>
      <w:r>
        <w:t>Il Tribunale cantonale delle assicurazioni</w:t>
      </w:r>
    </w:p>
    <w:p>
      <w:r>
        <w:t>composto dei giudici:</w:t>
      </w:r>
    </w:p>
    <w:p>
      <w:r>
        <w:t>Daniele Cattaneo, presidente,</w:t>
      </w:r>
    </w:p>
    <w:p>
      <w:r>
        <w:t>Raffaele Guffi, Ivano Ranzanici</w:t>
      </w:r>
    </w:p>
    <w:p>
      <w:r>
        <w:t>segretario:</w:t>
      </w:r>
    </w:p>
    <w:p>
      <w:r>
        <w:t>Gianluca Menghetti</w:t>
      </w:r>
    </w:p>
    <w:p>
      <w:r>
        <w:t>statuendo sul ricorso del 5 luglio 2019 di</w:t>
      </w:r>
    </w:p>
    <w:p>
      <w:r>
        <w:t>RI 1</w:t>
      </w:r>
    </w:p>
    <w:p>
      <w:r>
        <w:t>contro</w:t>
      </w:r>
    </w:p>
    <w:p>
      <w:r>
        <w:t>la decisione su opposizione del 4 giugno 2019 emanata da</w:t>
      </w:r>
    </w:p>
    <w:p>
      <w:r>
        <w:t>CO 1</w:t>
      </w:r>
    </w:p>
    <w:p>
      <w:r>
        <w:t>in materia di assegni di famiglia</w:t>
      </w:r>
    </w:p>
    <w:p>
      <w:r>
        <w:t>ritenuto,in fatto</w:t>
      </w:r>
    </w:p>
    <w:p>
      <w:r>
        <w:t>in diritto</w:t>
      </w:r>
    </w:p>
    <w:p>
      <w:r>
        <w:t>Questa disposizione dellordinanza, dichiarata dal Tribunale federale conforme alla Costituzione federale e alla Convenzione sui diritti del fanciullo, RS 0.107 (cfr. DTF 136 I 297; DTF 138 V 392; DTF 141 V 521 consid. 4.1), prevede dunque che il diritto agli assegni familiari è riconosciuto solo se lo prescrivono degli accordi internazionali (ad esempio lALC, cfr. DTF 138 V 392 per il diritto allassegno di un padre senza attività lucrativa a seguito di un infortunio la cui figlia risiede in Portogallo).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          Il segretario</w:t>
      </w:r>
    </w:p>
    <w:p>
      <w:r>
        <w:t>Daniele Cattaneo        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