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39.2019.3 vom 17. Oktober 2019</w:t>
      </w:r>
    </w:p>
    <w:p>
      <w:r>
        <w:t>TI Tribunale d'appello, 2019-10-17, IT</w:t>
      </w:r>
    </w:p>
    <w:p>
      <w:r>
        <w:rPr>
          <w:b/>
        </w:rPr>
        <w:t xml:space="preserve">Quelle: </w:t>
      </w:r>
      <w:r>
        <w:t>https://mcp.opencaselaw.ch/entscheid/ti_gerichte_39.2019.3</w:t>
      </w:r>
    </w:p>
    <w:p>
      <w:r>
        <w:t>FR: TI_GERICHTE 39.2019.3 du 17 octobre 2019</w:t>
      </w:r>
    </w:p>
    <w:p>
      <w:r>
        <w:t>IT: TI_GERICHTE 39.2019.3 del 17 ottobre 2019</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w:t>
      </w:r>
    </w:p>
    <w:p>
      <w:r>
        <w:t>nel merito</w:t>
      </w:r>
    </w:p>
    <w:p>
      <w:r>
        <w:t>2.2.  Oggetto del contendere è la questione di sapere se la Cassa abbia correttamente o meno negato a RI 1 il condono dellobbligo di restituire limporto di fr. 2'000.-- percepito a torto a titolo di assegni familiari dal 1° febbraio al 30 settembre 2017.</w:t>
      </w:r>
    </w:p>
    <w:p>
      <w:r>
        <w:t>2.3.  L'art. 2 della legge federale sugli assegni familiari (LAFam) del 26 marzo 2006 (in vigore dal 1° gennaio 2009), dedicato alla definizione e agli scopi degli assegni familiari, prevede che gli assegni familiari sono prestazioni in denaro, uniche o periodiche, versate per compensare parzialmente l'onere finanziario rappresentato da uno o più figli.</w:t>
      </w:r>
    </w:p>
    <w:p>
      <w:r>
        <w:t>Giusta lart. 3 cpv. 1 LAFam gli assegni familiari ai sensi della LAFam comprendono:</w:t>
      </w:r>
    </w:p>
    <w:p>
      <w:r>
        <w:t>a.  lassegno per i figli, versato dal mese in cui il figlio nasce sino alla fine del mese in cui il figlio compie il 16° anno detà; se il figlio presenta unincapacità al guadagno (art. 7 LPGA7), lassegno è versato fino al compimento del 20° anno detà;</w:t>
      </w:r>
    </w:p>
    <w:p>
      <w:r>
        <w:t>b.  lassegno di formazione, versato dalla fine del mese in cui il figlio compie il 16° anno detà fino alla conclusione della formazione, ma al più tardi sino alla fine del mese in cui il figlio compie il 25° anno detà.</w:t>
      </w:r>
    </w:p>
    <w:p>
      <w:r>
        <w:t>Giusta lart. 5 LAFam lassegno per i figli ammonta ad almeno 200 franchi mensili (cpv. 1), lassegno di formazione ammonta ad almeno 250 franchi mensili (cpv. 2).</w:t>
      </w:r>
    </w:p>
    <w:p>
      <w:r>
        <w:t>Il Consiglio federale adegua al rincaro gli importi minimi degli assegni allorché procede alladeguamento delle rendite dellassicurazione vecchiaia e superstiti (AVS), sempre che lindice nazionale dei prezzi al consumo sia aumentato almeno di 5 punti dopo lultima determinazione (cpv. 3).</w:t>
      </w:r>
    </w:p>
    <w:p>
      <w:r>
        <w:t>2.4.  Lart. 25 cpv. 1 LPGA, relativo alla restituzione e applicabile agli assegni familiari in virtù del rinvio di cui allart. 1 LAFam (cfr. STF 8C_178/2018 del 6 agosto 2018 consid. 3.1.; STF 8C_1032/2012 del 17 dicembre 2013 consid. 4.2.), stabilisce che le prestazioni indebitamente riscosse devono essere restituite. La restituzione non deve essere chiesta se l'interessato era in buona fede e verrebbe a trovarsi in gravi difficoltà.</w:t>
      </w:r>
    </w:p>
    <w:p>
      <w:r>
        <w:t>L'art. 4 OPGA regola il condono.</w:t>
      </w:r>
    </w:p>
    <w:p>
      <w:r>
        <w:t>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Il termine di 30 giorni di cui allart. 4 cpv. 4 OPGA è una prescrizione dordine e non un termine di perenzione (cfr. DTF 132 V 42; STF 8C_602/2007 del 13 dicembre 2007 consid. 3; STFA C 169/05 del 13 aprile 2006).</w:t>
      </w:r>
    </w:p>
    <w:p>
      <w:r>
        <w:t>Sul condono è pronunciata una decisione (cfr. art. 4 cpv. 5 OPGA).</w:t>
      </w:r>
    </w:p>
    <w:p>
      <w:r>
        <w:t>L'art. 5 OPGA definisce cosa si intende con "gravi difficoltà" e recita:</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Quindi, qualora difetti una delle due condizioni suelencate, il condono non può essere accordato.</w:t>
      </w:r>
    </w:p>
    <w:p>
      <w:r>
        <w:t>2.5.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8C_213/2019 del 13 giugno 2019 consid. 2.1.; STF 8C_178/2018 del 6 agosto 2018 consid. 3.1.; STF 9C_463/2016 del 12 luglio 2017 consid. 2.1.; STF 8C_373/2016 del 29 marzo 2017 consid. 4, pubblicata in DLA 2017 N. 5 pag. 144; STF 8C_385/2011 del 13 febbraio 2012 consid. 3;STF8C_865/2008 del 27 gennaio 2009 consid. 4;DLA 2003 N. 29, consid. 1.2, pag. 260; DLA 2002 N. 38, consid. 2a, pag. 258; DLA 2001 N. 18, consid. 3a, pag. 161-162; DLA 1998 N. 14, consid.4a, pag. 73; DLA 1992 N. 7, consid. 2b, pag. 103; DTF 112 V 97, consid. 2c, pag. 103, DTF 110 V 176, consid. 3c, pag. 180).</w:t>
      </w:r>
    </w:p>
    <w:p>
      <w:r>
        <w:t>2.6.  L'art.28 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 e per stabilire le prestazioni assicurative (cfr. art. 28 cpv. 2 LPGA).</w:t>
      </w:r>
    </w:p>
    <w:p>
      <w:r>
        <w:t>Chi pretende prestazioni assicurative deve autorizzaretutte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 31 LPGA regola la "Notificazione nel caso di cambiamento delle condizioni".</w:t>
      </w:r>
    </w:p>
    <w:p>
      <w:r>
        <w:t>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w:t>
      </w:r>
    </w:p>
    <w:p>
      <w:r>
        <w:t>Qualsiasi persona o servizio che partecipa allesecuzione delle assicurazioni sociali ha lobbligo di informare lassicuratore se apprende che le condizioni determinanti per lerogazione di prestazioni hanno subìto modifiche (cfr. art. 31 cpv. 2 LPGA).</w:t>
      </w:r>
    </w:p>
    <w:p>
      <w:r>
        <w:t>Il dovere di informare deve essere sempre rispettato da parte dei beneficiari di prestazioni.</w:t>
      </w:r>
    </w:p>
    <w:p>
      <w:r>
        <w:t>Devono essere fornite, di conseguenza, tutte le indicazioni necessarie per valutare l'adempimento delle condizioni da ossequiare per avere diritto alle specifiche prestazioni, rispettivamente il calcolo di queste ultime (cfr. STFA C 104/01 del 25 luglio 2001 consid. 2 in fine).</w:t>
      </w:r>
    </w:p>
    <w:p>
      <w:r>
        <w:t>Per quanto concerne la presente evenienza lobbligo di informare - entro 10 giorni - di ogni cambiamento rispetto ai dati indicati sul precedente formularioè stato esplicitato, ad esempio, nella decisione del 3 novembre 2014 di attribuzione di assegni familiari allinsorgente (cfr. doc. 1).</w:t>
      </w:r>
    </w:p>
    <w:p>
      <w:r>
        <w:t>In effetti la decisione su opposizione impugnata deve, comunque, essere confermata anche se fosse stato ossequiato il dovere di informare circa linterruzione della formazione.</w:t>
      </w:r>
    </w:p>
    <w:p>
      <w:r>
        <w:t>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w:t>
      </w:r>
    </w:p>
    <w:p>
      <w:r>
        <w:t>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w:t>
      </w:r>
    </w:p>
    <w:p>
      <w:r>
        <w:t>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w:t>
      </w:r>
    </w:p>
    <w:p>
      <w:r>
        <w:t>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w:t>
      </w:r>
    </w:p>
    <w:p>
      <w:r>
        <w:t>LAlta Corte, visto levidente divario fra il probabile guadagno perso dallassicurato a seguito della disoccupazione e le prestazioni dellassicurazione disoccupazione invece percepite, ha pure escluso che in concreto si trattava di un caso di negligenza lieve.</w:t>
      </w:r>
    </w:p>
    <w:p>
      <w:r>
        <w:t>Al riguardo cfr. pure STF C 264/05 del 25 gennaio 2006 e STF 9C_184/2015 dell8 maggio 2015; STF 8C_178/2018 del 6 agosto 2018 consid. 3.1.in fine.</w:t>
      </w:r>
    </w:p>
    <w:p>
      <w:r>
        <w:t>Lassicurata non ha proceduto in tal senso.</w:t>
      </w:r>
    </w:p>
    <w:p>
      <w:r>
        <w:t>Di conseguenza non può essere riconosciuta allassicurata la buona fede.</w:t>
      </w:r>
    </w:p>
    <w:p>
      <w:r>
        <w:t>Questa Corte non ignora la problematica accusata dalla figlia della ricorrente nel 2017, connessa alla difficoltà di reperire un posto di tirocinio, che ha comportato lintervento di un sostegno psicologico (cfr. doc. V).</w:t>
      </w:r>
    </w:p>
    <w:p>
      <w:r>
        <w:t>Ciònon permette tuttavia di sovvertire le conclusioni a cui è giunto il TCA.</w:t>
      </w:r>
    </w:p>
    <w:p>
      <w:r>
        <w:t>In effetti titolare dellassegno familiare era linsorgente. __________ era, peraltro, minorenne fino al 24 maggio 2017 e per il periodo successivo non emerge in ogni caso che questultima abbia richiesto il versamento diretto ai sensi dellart. 9 cpv. 2 LAFam.</w:t>
      </w:r>
    </w:p>
    <w:p>
      <w:r>
        <w:t>Agli atti nemmeno risulta alcuna certificazione medica secondo cui nel 2017 lo stato di salute della figlia e dellassicurata (a seguito delle problematiche vissute da __________) fosse così compromesso da influire sulla capacità della madre di comprendere i suoi obblighi e di gestirsi a livello personale e amministrativo, ovvero sulla sua capacità di discernimento (al riguardo cfr. 8C_865/2008 del 27 gennaio 2009 consid. 6.5.; STF 8C_1/2007 dell11 maggio 2007 consid. 3; STCA 39.2014.10 del 25 febbraio 2015 consid. 2.14.; STCA 42.2013.6 del 2 aprile 2014 consid. 2.10.; STCA 39.2012.4 del 22 maggio 2013 consid. 2.11.).</w:t>
      </w:r>
    </w:p>
    <w:p>
      <w:r>
        <w:t>Linsorgente non ha peraltro fatto valere che la sua capacità di discernimento fosse compromessa.</w:t>
      </w:r>
    </w:p>
    <w:p>
      <w:r>
        <w:t>Neppure il fatto che la Cassa nei mesi successivi al febbraio 2017 abbia omesso di chiedere allassicurata informazioni riguardo alla nuova formazione di __________ consente un esito differente della lite.</w:t>
      </w:r>
    </w:p>
    <w:p>
      <w:r>
        <w:t>Infatti la mancanza di buona fede da parte dellinsorgente non può essere controbilanciata dallerrore dellamministrazione (cfr. STF 8C_243/2016 del 7 luglio 2016 consid. 6.2.; STF 9C_184/2015 dell8 maggio 2015 consid. 3.4.3.; STFA C 196/05 dell8 giugno 2006 consid. 6.2.4.; STCA 39.2015.6 del 7 ottobre 2015 consid. 2.16.).</w:t>
      </w:r>
    </w:p>
    <w:p>
      <w:r>
        <w:t>2.10.  Alla luce di quanto sopra esposto, questa Corte, non potendo riconoscere la buona fede della ricorrente, primo presupposto per ottenere un eventuale condono, deve confermare la decisione su opposizione della Cassa del 21 maggio 2019.</w:t>
      </w:r>
    </w:p>
    <w:p>
      <w:r>
        <w:t>Mancando la prima condizione cumulativa per ottenere il condono, non è quindi necessario esaminare il presupposto dell'onere grave di cui all'art. 25 cpv. 1 LPGA (cfr. consid. 2.4.).</w:t>
      </w:r>
    </w:p>
    <w:p>
      <w:r>
        <w:t>A titolo abbondanziale giova osservare che un'eventuale soluzione confacente alle esigenze dellinsorgente deve essere concordata con la Cassa, ad esempio la possibilità di un pagamento rateale.</w:t>
      </w:r>
    </w:p>
    <w:p>
      <w:r>
        <w:t>Questo tema non è, comunque, oggetto della presente vertenza e pertanto il TCA non è tenuto ad occuparsene (cfr. DTF 123 V 230 consid. 3e; STCA 39.2015.4 del 27 luglio 2015 consid. 2.15.; STCA 39.2013.8 del 20 novembre 2013 consid, 2.14.; STCA 39.2016.7 del 2 agosto 2016 consid. 2.8.; STCA 39.2013.6 del 7 agosto 2013 consid. 2.15.;STCA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