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39.2018.10 vom 14. Mai 2018</w:t>
      </w:r>
    </w:p>
    <w:p>
      <w:r>
        <w:t>TI Tribunale d'appello, 2018-05-14, IT</w:t>
      </w:r>
    </w:p>
    <w:p>
      <w:r>
        <w:rPr>
          <w:b/>
        </w:rPr>
        <w:t xml:space="preserve">Quelle: </w:t>
      </w:r>
      <w:r>
        <w:t>https://mcp.opencaselaw.ch/entscheid/ti_gerichte_39.2018.10_d20180514</w:t>
      </w:r>
    </w:p>
    <w:p>
      <w:r>
        <w:t>FR: TI_GERICHTE 39.2018.10 du 14 mai 2018</w:t>
      </w:r>
    </w:p>
    <w:p>
      <w:r>
        <w:t>IT: TI_GERICHTE 39.2018.10 del 14 maggio 2018</w:t>
      </w:r>
    </w:p>
    <w:p>
      <w:pPr>
        <w:pStyle w:val="Heading2"/>
      </w:pPr>
      <w:r>
        <w:t>Regeste</w:t>
      </w:r>
    </w:p>
    <w:p>
      <w:r>
        <w:t>Ricorso contro decisione su reclamo relativa a restituzione AFI irricevibile. Le argomentaz.formulate nel ricorso concernno la BF e l'onere gravoso, condizioni del condono che saranno esaminata nella successiva proc.concernente il condono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dicembre 2000; STFA I 623/98 del 26 ottobre 1999. Vedi pure: STF 9C_807/2014 del 9 settembre 2015; STF 9C_585/2014 dell8 settembre 2015).</w:t>
      </w:r>
    </w:p>
    <w:p>
      <w:r>
        <w:t>Nel merito</w:t>
      </w:r>
    </w:p>
    <w:p>
      <w:r>
        <w:t>Ai sensi, poi, dellart. 49 Laf afferente allimporto massimo dellassegno: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