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39.2017.16 vom 7. Mai 2018</w:t>
      </w:r>
    </w:p>
    <w:p>
      <w:r>
        <w:t>TI Tribunale d'appello, 2018-05-07, IT</w:t>
      </w:r>
    </w:p>
    <w:p>
      <w:r>
        <w:rPr>
          <w:b/>
        </w:rPr>
        <w:t xml:space="preserve">Quelle: </w:t>
      </w:r>
      <w:r>
        <w:t>https://mcp.opencaselaw.ch/entscheid/ti_gerichte_39.2017.16</w:t>
      </w:r>
    </w:p>
    <w:p>
      <w:r>
        <w:t>FR: TI_GERICHTE 39.2017.16 du 7 mai 2018</w:t>
      </w:r>
    </w:p>
    <w:p>
      <w:r>
        <w:t>IT: TI_GERICHTE 39.2017.16 del 7 maggio 2018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giugno 2015 consid. 3.2.; STF 9C_112/2010 del 15 febbraio 2011 consid. 3.2.; STFA I 475/01 del 13 giugno 2003 consid, 2.1.; STFA H 192/00 del 10 giugno 2002; DTF 121 III 331 consid.3b; Albertini, Der verfassungsmässige Anspruch auf rechtliches Gehör im Verwaltungsverfahren des modernen Staates, Berna 2000, pag. 368 seg. con numerosi rinvii).</w:t>
      </w:r>
    </w:p>
    <w:p>
      <w:r>
        <w:t>Nella presente fattispecie, alla luce dei principi giurisprudenziali appena esposti, questa Corte non ravvisa, nella decisione su reclamo dell8 giugno 2017 qui impugnata, delle lacune dal profilo della motivazione, in quanto dalla stessa emergono chiaramente sia gli aspetti posti a fondamento delle sue conclusioni, sia il calcolo effettuato per determinare il reddito annuo del periodo da novembre 2016 a febbraio 2017 (cfr. doc. A1, in particolare pag. 3/5). Inoltre nella decisione di restituzione del 7 aprile 2017 la Cassa ha anche interamente riportato nel dettaglio il calcolo di restituzione da lei effettuato concernente sempre questo periodo (cfr. doc. 10, in particolare 10a).</w:t>
      </w:r>
    </w:p>
    <w:p>
      <w:r>
        <w:t>Del resto la ricorrente ha potuto rendersi conto della portata della decisione su reclamo emessa nei suoi confronti, visto che lha impugnata davanti a questo Tribunale.</w:t>
      </w:r>
    </w:p>
    <w:p>
      <w:r>
        <w:t>La censura sollevata dalla ricorrente non è, dunque, fondata.</w:t>
      </w:r>
    </w:p>
    <w:p>
      <w:r>
        <w:t>Infatti il diritto alle prestazioni sociali di complemento armonizzate sorge se il reddito disponibile residuale, sommato al sussidio per il premio della cassa malati e alle prestazioni sociali di complemento di cui un assicurato beneficia, non raggiunge la soglia di intervento (cfr. art. 11 Laps).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