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39.2016.6 vom 7. November 2016</w:t>
      </w:r>
    </w:p>
    <w:p>
      <w:r>
        <w:t>TI Tribunale d'appello, 2016-11-07, IT</w:t>
      </w:r>
    </w:p>
    <w:p>
      <w:r>
        <w:rPr>
          <w:b/>
        </w:rPr>
        <w:t xml:space="preserve">Quelle: </w:t>
      </w:r>
      <w:r>
        <w:t>https://mcp.opencaselaw.ch/entscheid/ti_gerichte_39.2016.6</w:t>
      </w:r>
    </w:p>
    <w:p>
      <w:r>
        <w:t>FR: TI_GERICHTE 39.2016.6 du 7 novembre 2016</w:t>
      </w:r>
    </w:p>
    <w:p>
      <w:r>
        <w:t>IT: TI_GERICHTE 39.2016.6 del 7 novembre 2016</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in vigore dal 1° ottobre 2006,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w:t>
      </w:r>
    </w:p>
    <w:p>
      <w:r>
        <w:rPr>
          <w:b/>
        </w:rPr>
        <w:t>E. 2</w:t>
      </w:r>
    </w:p>
    <w:p>
      <w:r>
        <w:t>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2.4</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w:t>
      </w:r>
    </w:p>
    <w:p>
      <w:r>
        <w:rPr>
          <w:b/>
        </w:rPr>
        <w:t>E. 2.5</w:t>
      </w:r>
    </w:p>
    <w:p>
      <w:r>
        <w:t>Le direttive COSAS del 2005, aggiornate nel dicembre 2014 e menzionate nelle sentenze DTF 134 I 313 consid. 5.5. e DTF 141 I 153 consid. 4.3. citate sopra (cfr. consid. 2.3.), al punto F.5.1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(La sottolineatura è del redattore) Riguardo alla funzione delle disposizioni COSAS, cfr. C. Hänzi,  Die Richtlinien der schweizerischen Konferenz für Sozialhilfe". Ed. Helbing Lichtenhahn, Basilea 2011, pag. 171-172 e pag. 114-115 relativamente al principio di sussidiarietà. 2.6.   Nell’evenienza concreta la Cassa ha considerato nell’unità di riferimento di RI 1, composta della medesima, dei due figli, __________ (__________1999) ed __________ (__________2003), nati dal matrimonio con __________, deceduto nel 2012 (cfr. doc. 21; 20; 19 inc. Laps), e della figlia __________, nata il __________ 2015 (cfr. doc. 25 inc. Laps), anche __________, padre di quest’ultima (cfr. doc. 13; 13a inc. Laps). Computando, quindi, pure i redditi e le spese di __________, l’amministrazione ha respinto la richiesta dell’assicurata tendente all’ottenimento di un assegno integrativo e di un assegno di prima infanzia a far tempo dal mese di febbraio 2016 (cfr. consid.1.1.). L’insorgente ha contestato tale decisione sostenendo che il padre di sua figlia avrebbe subaffittato per fr. 200, oltre a fr. 100 quale aiuto per la bambina, una camera nella sua abitazione trovandosi in difficoltà finanziarie, ma non sarebbe il suo compagno in quanto ognuno avrebbe la propria vita privata (cfr. doc. I; V; 3 inc. AF). L’assicurata ha sostegno delle proprie asserzioni ha allegato pure una dichiarazione di __________ nella quale egli afferma di non essere il compagno della medesima, bensì solo subaffittuario di una stanza presso di lei (cfr. doc. B1). 2.7.   Chiamata a pronunciarsi in merito alla fattispecie, questa Corte osserva innanzitutto che è la data della decisione su reclamo impugnata (nel presente caso: il 13 aprile 2016) che delimita temporalmente il potere cognitivo del giudice delle assicurazioni sociali (cfr. STF 8C_661/2013 del 22 settembre 2014 consid. 3.1.2.; STF 9C_5/2012 del 31 gennaio 2012; DTF 132 V 215 consid. 3.1.1; STFA I 525/04 del 15 aprile 2005 consid. 2). Il TCA rileva, inoltre, che dalle carte processuali emerge che __________, cittadino __________ entrato in Svizzera il 29 maggio 2009 e in possesso di un permesso di domicilio C UE/AELS valido fino al 28 maggio 2019 (cfr. doc. 16 inc. Laps), il 1° luglio 2013 si è trasferito da __________ a __________ in via __________ (cfr. doc. 17), ossia presso il medesimo indirizzo dell’assicurata (cfr. doc. B2; 21). Dal contratto di locazione dell’abitazione in via __________ a __________, concluso nel 2006 dal locatore e dall’assicurata unitamente a suo marito, __________, deceduto nel 2012, si evince che l’ente locato è un’abitazione familiare di sei locali (cfr. doc. B2). Il 15 ottobre 2015 __________ ha riconosciuto, prima della nascita, la figlia sua e di RI 1, poi nata il __________ 2015 (cfr. doc. 13; 25 inc. Laps). La ricorrente, il 1° febbraio 2016, ha consegnato alla cancelleria comunale di __________ la documentazione completa al fine di richiedere l’assegno integrativo e di prima infanzia. L’appuntamento con lo Sportello Laps di __________ è stato fissato per il 9 febbraio 2016 (cfr. doc. 24 inc. Laps). Sempre il 1° febbraio 2016 il formulario “Procura, autorizzazione a fornire informazioni e compensazione”, che deve essere sottoscritto dal richiedente degli assegni e dalle persone facenti parte dell’unità di riferimento, è stato firmato sia dalla ricorrente che da __________. Quale rapporto di parentela di quest’ultimo con la ricorrente è stato specificato “convivente” (cfr. doc. 23 inc. Laps). Inoltre l’insorgente, il 9 febbraio 2016, ha sottoscritto, davanti allo Sportello Laps di __________, la conferma dei dati dichiarati, da cui emerge che la sua unità di riferimento è composta della medesima, dei figli __________ ed __________, della figlia __________ e di __________, indicato – nella casella “legame familiare” – quale convivente , senza formulare al riguardo alcuna obiezione od osservazione (cfr. doc. 25 inc. Laps). Visto quanto precede e tenuto conto - peraltro in modo decisivo - che la ricorrente e __________ hanno una figlia in comune nata il 16 novembre 2015, ovvero due mesi e mezzo prima della data determinante per l’eventuale diritto ad assegni integrativi e di prima infanzia del 1° febbraio 2016, il TCA ritiene che __________ sia il convivente dell’insorgente e che la convivenza sia stabile ai sensi degli art. 4 cpv. 1 lett. c Laps e 2a lett. a Reg.Laps (secondo cui la convivenza è considerata stabile se, alternativamente, vi sono figli in comune; cfr. consid. 2.3.). Il TCA non ignora la circostanza che sia la ricorrente che __________ hanno asserito che quest’ultimo usufruisce unicamente di una stanza presso la medesima e di uno dei due bagni solo per lui (cfr. doc. I; B1; 3 inc. AF). Al riguardo questa Corte si limita, tuttavia, a ribadire che il TF, con sentenza 8C_645/2015 del 10 dicembre 2015, ha confermato l’operato dell’amministrazione che ha ritenuto che una coppia che comperava separatamente certi generi alimentari, utilizzava camere e scaffali separati e usava ceste per la biancheria sporca distinte vivesse in concubinato e non semplicemente come due persone che decidono di condividere l’abitazione per ridurre le spese, con la conseguenza di computare anche la compagna nel calcolo della prestazione assistenziale. L’Alta Corte ha evidenziato, da una parte, che tale conclusione non risultava arbitraria. Dall’altra, che nemmeno per dei nuclei familiari è inusuale disporre di camere da letto separate e consumare i pasti ad orari diversi (cfr. consid. 2.4.). Di conseguenza a ragione la Cassa ha tenuto conto di __________ nell’unità di riferimento dell’insorgente e ha computato ai fini della determinazione dell’eventuale diritto all’assegno integrativo e all’assegno di prima infanzia dal febbraio 2016, oltre alle sue spese, i redditi da indennità di disoccupazione di fr. 39'142 annui di quest’ultimo (cfr. doc. 2b; 1b), la cui entità non è peraltro stata contestata dall’insorgente. 2.8.   Per quanto attiene alla censura formulata dalla ricorrente relativa al mancato conteggio del leasing della propria automobile (cfr. doc. I), va osservato che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7 Laps prevede che la spesa computabile è costituita dalla somma delle spese vincolate (art. 8 Laps) e dalla spesa per l’alloggio (art. 9 Laps). Ai sensi dell'art. 8 Laps: "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[26]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Le spese computabili - costituite dalla spesa vincolata e dalla spesa per l’alloggio -, come pure del resto i redditi computabili, agli art. 8, 9 e 6 Laps sono elencati in modo esaustivo. Di conseguenza, una volta conteggiate tali voci nel calcolo dell’assegno integrativo e di prima infanzia di un assicurato, non è possibile computarne altre non previste dalla Laps. A eventuali ulteriori costi che esulano da quelli previsti si deve sopperire tramite l’importo della soglia di intervento (cfr. STCA 39.2010.16 del 7 marzo 2011 consid. 2.18.; 42.STCA 39.2008.3 del 13 novembre 2008 consid. 2.7.; STCA 42.2016.11 del 12 settembre 2016; STCA 42.2015.6 del 28 settembre 2015 consid. 2.12.). I costi connessi a un leasing relativo a un’automobile, non concernendo delle spese computabili ai sensi della Laps, non vanno considerati nel calcolo degli assegni integrativi e di prima infanzia (cfr. al riguardo STCA 42.2013.28 del 27 febbraio 2014; STCA 39.2002.43 del 18 marzo 2003 consid. 2.14.), a maggior ragione nel caso concreto in cui l’auto non è utilizzata per motivi di ordine professionale, non svolgendo la ricorrente alcuna attività lavorativa (cfr. doc. 2b; 1b inc. AF). Ne discende che la Cassa correttamente non ha tenuto conto del leasing fatto valere dall’insorgente.</w:t>
      </w:r>
    </w:p>
    <w:p>
      <w:r>
        <w:rPr>
          <w:b/>
        </w:rPr>
        <w:t>E. 2.9</w:t>
      </w:r>
    </w:p>
    <w:p>
      <w:r>
        <w:t>In relazione alla pigione la ricorrente ha contestato il fatto che la Cassa abbia tenuto conto della somma di fr. 15'000 annui a titolo di spesa per l’alloggio, quando invece lei al locatore versa fr. 21'800 all’anno (cfr. doc. I). Nelle decisioni del 18 febbraio 2016 concernenti l’assegno integrativo, rispettivamente l’assegno di prima infanzia la Cassa ha però conteggiato, quale spesa per l’alloggio Laps, la somma di fr. 18'000 (cfr. doc. 2b; 1b inc. AF) e non di fr. 15'000 come fatto valere dall’insorgente. L’art. 9 cpv. 1 Laps prevede che la spesa per l’alloggio, nel caso di unità di riferimento composte di più di due persone, è computata fino ad un massimo, pari all’importo riconosciuto dalla LPC per i coniugi (fr. 15’000.--) maggiorato del 20%, ossia corrispondente a fr. 18'000 (cfr. art. 10 cpv. 1 lett. b LPC; STCA 39.2016.2 del 22 giugno 2016 consid. 2.10.). Il tenore dell’art. 5 cpv. 1 Reg.Laps è il seguente: "Riservati gli importi massimi di cui all’art. 9 cpv. 1 Laps, la spesa per l’alloggio è definita come segue: a) per l’inquilino, la pigione netta maggiorata del 15% per le spese accessorie; b) per il proprietario, il valore locativo dell’abitazione primaria, maggiorato del 15% per le spese accessorie. Nella presente fattispecie la pigione annua dell’abitazione di __________ contemplata dal relativo contratto di locazione ammonta a fr. 21’120, la quale deve essere maggiorata del 15% per le spese accessorie in virtù dell’art. 5 lett. b RLaps. Di conseguenza la spesa effettiva per l’alloggio ammonta a fr. 24’288 (cfr. doc. B2; 2b; 1b inc. AF). Siccome la somma di fr. 24'288 comprensiva della pigione aumentata del 15% per le spese accessorie, come peraltro già la sola pigione di per sé di fr. 21'120 prevista dal contratto di locazione, risulta superiore all’importo massimo computabile quale spesa per l’alloggio per un’unità di riferimento di più di due persone di fr. 18'000, rettamente la Cassa, nei calcoli dell’assegno integrativo e dell’assegno di prima infanzia a decorrere dal 1° febbraio 2016, ha conteggiato unicamente di quest’ultimo ammontare. 2.10.   L’insorgente ha, infine, asserito che la Cassa __________ le deduce dalla rendita vedovile che le è stata riconosciuta l’importo di fr. 150 per un debito che non era stato saldato dal suo defunto marito (cfr. doc. I; 3 inc. AF). Dalla documentazione agli atti non è dato di sapere se effettivamente la Cassa di compensazione prima di effettuare i versamenti mensili delle rendite AVS e PC spettanti alla ricorrente e ai figli __________ ed __________ deduca o meno la somma di fr. 150. Dalle tabelle di calcolo relative alle decisioni del 18 febbraio 2016 si evince che la parte resistente ha comunque computato a titolo di redditi le rendite AVS e PC riconosciute all’assicurata e ai due figli con decisione del 25 gennaio 2016 di fr. 1'287 al mese complessivi quale PC (cfr.doc. 8), pari a fr. 15'444 annui (cfr. doc. 2b; 1b inc. AF), di fr. 18'588 annui quale rendita AVS per superstite per la ricorrente (cfr. doc. 8a; 2b; 1b inc. AF), di fr. 9'300 all’anno a titolo di rendita AVS per orfano per __________ (cfr. doc. 8a; 2b; 1b inc. AF) e di fr. 9'300 all’anno a titolo di rendita AVS per orfano per __________ (cfr. doc. 8a; 2b; 1b inc. AF). La questione concernente la deduzione dalla rendita AVS di fr. 150 da parte della Cassa di compensazione può in concreto restare insoluta, poiché anche volendo tenere conto, per ipotesi di lavoro, di un reddito inferiore rispetto a quello considerato dalla Cassa cantonale per gli assegni familiari nei calcoli degli AFI e degli API di fr. 150 al mese, ossia di fr. 1'800 all’anno, l’esito della vertenza non sarebbe differente. In effetti, ritenuta un’eccedenza di reddito Laps di fr. 11'534 annui come calcolata dalla Cassa nei conteggi del 18 febbraio 2016 senza tenere conto della deduzione dell’importo di fr. 1'800 annui (cfr. doc. 2a, 1a inc. AF), mediante l’ipotetica decurtazione di fr. 1'800 all’anno resterebbe in ogni caso un’eccedenza di reddito Laps di fr. 9'734 (fr. 11'534 – fr. 1'800 = fr. 9'734). Più precisamente, deducendo dal reddito computabile Laps (fr. 91'785; cfr. doc. 2a; 1a inc. AF) la somma di fr. 1'800 annui, si otterrebbe comunque un’eccedenza di reddito Laps di fr. 9'734 [(fr. 91'785 – fr. 1'800) – fr. 36'803 spesa computabile Laps – fr. 50'561 fabbisogno di base Laps + fr. 7'113 altre prestazioni computabili Laps]. 2.11.   Con scritto pervenuto al TCA il 31 maggio 2016 l’insorgente ha chiesto di poter avere un colloquio di persona con un funzionario della Cassa, in quanto non è d’accordo con loro operato (cfr. doc. IX). Questa Corte ritiene che, visto l’effetto devolutivo del ricorso (cfr. STF 8C_284/2014 del 16 dicembre 2014 consid. 5.2.2.; DTF 127 V 228 consid. 2.b.aa), non si giustifica lo svolgimento di un colloquio con la Cassa pendente davanti al TCA l’impugnativa della ricorrente contro la decisione su reclamo del 13 aprile 2016 (cfr. STCA 38.2016.32 del 19 ottobre 2016 consid. 2.6.; STCA 38.2014.16 del 23 marzo 2015 consid. 2.15., parzialmente pubblicata in RtiD II-2015 N. 67 pag. 259 segg.). La ricorrente avrebbe semmai dovuto domandare un incontro con la parte resistente durante la procedura di reclamo. Abbondanzialmente va osservato che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9C_796/2015 del 17 dicembre 2015 consid. 5.3.; STF 9C_87/2013 del 18 marzo 2013 consid. 4.1.;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l’insorgente non ha formulato un’esplicita richiesta di indire un pubblico dibattimento, né una richiesta di audizione al fine di esporre il proprio punto di vista sulle risultanze probatorie (cfr. doc. I). Del resto, la documentazione già presente all’inserto consente al TCA di emanare il proprio giudizio, di modo che in ogni caso l’audizione dell’assicurata si rileva superflua. 2.12.   Alla luce di tutto quanto sopra esposto, occorre concludere che a ragione la Cassa cantonale di compensazione per gli assegni familiari ha negato alla ricorrente il diritto all’assegno integrativo e all’assegno di prima infanzia a decorrere dal 1° febbraio 2016. La decisione su reclamo del 13 aprile 2016 impugnata deve, conseguentemente, essere confermata.</w:t>
      </w:r>
    </w:p>
    <w:p>
      <w:r>
        <w:rPr>
          <w:b/>
        </w:rPr>
        <w:t>E. 6</w:t>
      </w:r>
    </w:p>
    <w:p>
      <w:r>
        <w:t>settembre 2016, destinato alla pubblicazione, l’Alta Corte ha confermato la decisione del Tribunale amministrativo del Cantone Zurigo che nell’agosto 2014 nel calcolo dell’assistenza sociale di una beneficiare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Al riguardo cfr. pure STCA 42.2016.11 del 12 settembre 2016; STCA 42.2016.6-7 del 2 agosto 2016; STCA 42.2016.1 del 27 giugno 2016; STCA 36.2016.17-20 del 23 maggio 2016; STCA 39.2015.3 del 12 novembre 2015.</w:t>
      </w:r>
    </w:p>
    <w:p>
      <w:r>
        <w:rPr>
          <w:b/>
        </w:rPr>
        <w:t>E. 25</w:t>
      </w:r>
    </w:p>
    <w:p>
      <w:r>
        <w:t>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(vediDTF5C 90/2001, 5C 155/2004, 5P 70/2005, 1P 184/2003, 2P 218/2003 eDTF129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2.4.Secondo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w:t>
      </w:r>
    </w:p>
    <w:p>
      <w:r>
        <w:t>().</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Al riguardo cfr. pure STCA 42.2016.11 del 12 settembre 2016; STCA 42.2016.6-7 del 2 agosto 2016; STCA 42.2016.1 del 27 giugno 2016; STCA 36.2016.17-20 del 23 maggio 2016; STCA 39.2015.3 del 12 novembre 2015.</w:t>
      </w:r>
    </w:p>
    <w:p>
      <w:r>
        <w:t>2.5.Le direttive COSAS del 2005, aggiornate nel dicembre 2014 e menzionate nelle sentenze DTF 134 I 313 consid. 5.5. e DTF 141 I 153 consid. 4.3. citate sopra (cfr. consid. 2.3.), al punto F.5.1 ("Comunità di abitazione e vita di tipo familiare") sottolineano che:</w:t>
      </w:r>
    </w:p>
    <w:p>
      <w:r>
        <w:t>"F.5 Comunità di abitazione e vita di tipo familiare</w:t>
      </w:r>
    </w:p>
    <w:p>
      <w:r>
        <w:t>F.5.1 Principi</w:t>
      </w:r>
    </w:p>
    <w:p>
      <w:r>
        <w:t>Riguardo alla funzione delle disposizioni COSAS, cfr. C. Hänzi,  Die Richtlinien der schweizerischen Konferenz für Sozialhilfe". Ed. Helbing Lichtenhahn, Basilea 2011, pag. 171-172 e pag. 114-115 relativamente al principio di sussidiarietà.</w:t>
      </w:r>
    </w:p>
    <w:p>
      <w:r>
        <w:t>Ai sensi dell'art. 8 Laps:</w:t>
      </w:r>
    </w:p>
    <w:p>
      <w:r>
        <w:t>"Riservati gli importi massimi di cui allart. 9 cpv. 1 Laps, la spesa per lalloggio è definita come segue:</w:t>
      </w:r>
    </w:p>
    <w:p>
      <w:r>
        <w:t>a) per linquilino, la pigione netta maggiorata del 15% per le spese accessorie;</w:t>
      </w:r>
    </w:p>
    <w:p>
      <w:r>
        <w:t>b) per il proprietario, il valore locativo dellabitazione primaria, maggiorato del 15% per le spese accessorie.</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9C_796/2015 del 17 dicembre 2015 consid. 5.3.; STF 9C_87/2013 del 18 marzo 2013 consid. 4.1.;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concreta evenienza - contrariamente a quanto esige la giurisprudenza federale -, linsorgente non ha formulato unesplicita richiesta di indire un pubblico dibattimento, né una richiesta di audizione al fine di esporre il proprio punto di vista sulle risultanze probatorie (cfr. doc. I).</w:t>
      </w:r>
    </w:p>
    <w:p>
      <w:r>
        <w:t>Del resto, la documentazione già presente allinserto consente al TCA di emanare il proprio giudizio, di modo che in ogni caso laudizione dellassicurata si rileva superflua.</w:t>
      </w:r>
    </w:p>
    <w:p>
      <w:r>
        <w:t>2.12.   Alla luce di tutto quanto sopra esposto, occorre concludere che a ragione la Cassa cantonale di compensazione per gli assegni familiari ha negato alla ricorrente il diritto allassegno integrativo e allassegno di prima infanzia a decorrere dal 1° febbraio 2016.</w:t>
      </w:r>
    </w:p>
    <w:p>
      <w:r>
        <w:t>La decisione su reclamo del 13 aprile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