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39.2015.9 vom 7. Mai 2015</w:t>
      </w:r>
    </w:p>
    <w:p>
      <w:r>
        <w:t>TI Tribunale d'appello, 2015-05-07, IT</w:t>
      </w:r>
    </w:p>
    <w:p>
      <w:r>
        <w:rPr>
          <w:b/>
        </w:rPr>
        <w:t xml:space="preserve">Quelle: </w:t>
      </w:r>
      <w:r>
        <w:t>https://mcp.opencaselaw.ch/entscheid/ti_gerichte_39.2015.9_d20150507</w:t>
      </w:r>
    </w:p>
    <w:p>
      <w:r>
        <w:t>FR: TI_GERICHTE 39.2015.9 du 7 mai 2015</w:t>
      </w:r>
    </w:p>
    <w:p>
      <w:r>
        <w:t>IT: TI_GERICHTE 39.2015.9 del 7 maggio 2015</w:t>
      </w:r>
    </w:p>
    <w:p>
      <w:pPr>
        <w:pStyle w:val="Heading2"/>
      </w:pPr>
      <w:r>
        <w:t>Regeste</w:t>
      </w:r>
    </w:p>
    <w:p>
      <w:r>
        <w:t>Negato dt a AFI e API considerando nell'UR anche padre della 2°figlia. Ai fini della determinazione di una convivenza determinante è che i partner siano pronti a prestarsi assistenza e sostegno. Inoltre avendo una figlia in comune convivenza va considerata stabile. Ric. respinto</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in vigore dal 1° ottobre 2006,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w:t>
      </w:r>
    </w:p>
    <w:p>
      <w:r>
        <w:rPr>
          <w:b/>
        </w:rPr>
        <w:t>E. 4</w:t>
      </w:r>
    </w:p>
    <w:p>
      <w:r>
        <w:t>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doc. X; consid. 1.5.),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2.3.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Inoltre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 .” Con giudizio 8C_232/2015 del 17 settembre 2015 l’Alta Corte ha poi confermato quanto deciso dall’amministrazione, ossia che a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Infine, in una sentenza 39.2015.3 del 12 novembre 2015 questo Tribunale ha stabilito che trattandosi di due assicurati senza figli in comune, la convivenza poteva essere considerata stabile soltanto sei mesi dopo l’inizio del contratto di locazione della casa nella quale abitano. 2.4.   Nella presente fattispecie risulta dagli atti dell’incarto che RI 1 dal 1° settembre 2014 è stata posta al beneficio di un assegno integrativo di fr. 1'119.-- e di un assegno di prima infanzia di fr. 1'536.--. Dell’unità di riferimento facevano parte tre persone: l’assicurata, che è divorziata dal marito, la figlia __________ (nata nel 2007) e la figlia __________ (nata nel settembre 2014). Con la decisione su reclamo qui impugnata la Cassa ha confermato la soppressione delle prestazioni dal 1° maggio 2015, a seguito di un nuovo calcolo effettuato tenendo conto nell’unità di riferimento anche di __________, padre di __________, che ha riconosciuto come propria figlia e per la quale egli versa un contributo alimentare di mantenimento (cfr. la risoluzione del 20 gennaio 2015 dell’Autorità Regionale di Protezione __________ di __________, doc. 4). Il patrocinatore della ricorrente contesta l’operato dell’amministrazione sostenendo che non vi è alcuna convivenza in quanto __________ è domiciliato a __________ mentre RI 1 vive a __________ (cfr. consid. 1.2). L’assicurata successivamente alla decisione su reclamo ha poi comunicato alla Cassa di avere trasferito il proprio domicilio a __________ il 1° settembre 2015 (cfr. consid. 1.4). A tale proposito il TCA ricorda innanzitutto che determinante è il momento in cui è stata emessa la decisione su reclamo (cioè il 22 giugno 2015), che delimita temporalmente il potere d’esame del giudice delle assicurazioni sociali (cfr. STF 8C_279/2015 del 27 agosto 2015; STF 9C_231/2012 del 24 agosto 2012; TF 9C_5/2012 del 31 gennaio 2012; I 441/05 del 10 luglio 2006; DTF 132 V 215 consid. 3.1.1. pag. 220; DTF 121 V 362 consid. 1b pag. 366). Fra gli atti dell’incarto figurano due Rapporti di informazione del 9 febbraio 2015 e del 7 aprile 2015 relativi a dei controlli effettuati nel periodo tra il 31 gennaio e l’8 febbraio 2015, rispettivamente dal 6 marzo 2015 al 7 aprile 2015 dai quali risulta la presenza regolare di __________ presso il domicilio della ricorrente a __________ (cfr. doc. 13b: “Dai controlli di cui sopra, risulta la presenza del veicolo intestato al signor __________, durante gli orari notturni e nel fine settimana, prevalentemente nel parcheggio privato nr. __________, di via __________, come si può evincere dal reperto fotografico allegato”.). Sentita personalmente al riguardo dall’amministrazione, la ricorrente la quale il 26 gennaio 2015 aveva dichiarato che __________ “… dorme al mio domicilio solo il venerdì e il sabato, pranza e cena da me solo il sabato e ogni tanto la domenica” e “in settimana ogni tanto a dipendenza dagli orari di lavoro passa a trovarci il mercoledì sera dopocena” (cfr. doc. 4), ha sottolineato che nel mese di marzo il papà di __________ è stato spesso presso di lei in quanto entrambe le bambine non stavano bene. Inoltre, non avendo un veicolo e considerate le varie visite all’Ospedale __________ di __________, necessitava di un aiuto (cfr. doc. 17a). Alla luce di questi elementi il TCA deve concludere che, a ragione, la Cassa ha ritenuto che dal 1° maggio 2015 deve essere incluso nel calcolo anche __________. La giurisprudenza federale e cantonale ha infatti stabilito che ai fini della determinazione di una convivenza, è irrilevante la forma della vita in comune mentre è determinante che i partners siano pronti a prestarsi assistenza e sostegno reciproci (cfr. la giurisprudenza citata al consid. 2.3., in particolare STCA 42.2012.2 del 24 aprile 2013, pubblicata in RtiD II – 2013 N. 13 pag. 66 seg.; STCA 39.2015.3 del 12 novembre 2015). Ciò è il caso di RI 1 e __________. Inoltre, avendo una figlia in comune, la convivenza deve essere considerata stabile ai sensi degli art. 4 lett. a Laps e 2a lett. c Reg.Laps. In simili condizioni la decisione su reclamo del 22 giugno 2015 deve essere confermata.</w:t>
      </w:r>
    </w:p>
    <w:p>
      <w:r>
        <w:rPr>
          <w:b/>
        </w:rPr>
        <w:t>E. 12</w:t>
      </w:r>
    </w:p>
    <w:p>
      <w:r>
        <w:t>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().</w:t>
      </w:r>
    </w:p>
    <w:p>
      <w:r>
        <w:t>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