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39.2014.10 vom 25. Februar 2015</w:t>
      </w:r>
    </w:p>
    <w:p>
      <w:r>
        <w:t>TI Tribunale d'appello, 2015-02-25, IT</w:t>
      </w:r>
    </w:p>
    <w:p>
      <w:r>
        <w:rPr>
          <w:b/>
        </w:rPr>
        <w:t xml:space="preserve">Quelle: </w:t>
      </w:r>
      <w:r>
        <w:t>https://mcp.opencaselaw.ch/entscheid/ti_gerichte_39.2014.10</w:t>
      </w:r>
    </w:p>
    <w:p>
      <w:r>
        <w:t>FR: TI_GERICHTE 39.2014.10 du 25 février 2015</w:t>
      </w:r>
    </w:p>
    <w:p>
      <w:r>
        <w:t>IT: TI_GERICHTE 39.2014.10 del 25 febbraio 2015</w:t>
      </w:r>
    </w:p>
    <w:p>
      <w:pPr>
        <w:pStyle w:val="Heading2"/>
      </w:pPr>
      <w:r>
        <w:t>Regeste</w:t>
      </w:r>
    </w:p>
    <w:p>
      <w:r>
        <w:t>Negato condono (restituzione AFI - da 3/12 a 2/13). Negata buona fede, poiché non comunicato attività lavorativa della moglie, aumento stipendio del marito, né proprietà immobiliare all'estero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 Cassa ha correttamente o meno negato ai ricorrenti il condono della restituzione dell'importo di fr. 3’363.-- percepito a torto a titolo di assegni integrativi dal 1° marzo 2012 al 28 febbraio 2013. 2.3.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Ai sensi, poi dell’art. 49 Laf, afferente all’importo massimo dell’assegno: " L'importo massimo dell'assegno corrisponde alle soglie di intervento per i figli definite dalla Laps. (cpv. 1) Dall'importo erogabile vanno dedotti gli eventuali assegni per figli e di formazione. (cpv. 2)" Dal tenore di queste norme legali, risulta che la Laf, per il calcolo dell’assegno integrativo, rinvia alla Legge sull’armonizzazione e il coordinamento delle prestazioni sociali (Laps). 2.4.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2.5.   L’art. 30 Laps, afferente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2.7.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 226; STCA 14 maggio 1993 in re P.). Questo concetto è stato pure ripreso dall'art. 26 cpv. 3 Laps (cfr. consid. 2.6.). 2.8.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4/04 del 20 giugno 2005 consid. 2.2.; STFA C 292/02 del 15 marzo 2004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Nell'evenienza concreta la Cassa ha negato la buona fede degli assicurati, poiché, benché fossero a conoscenza che ogni cambiamento della situazione economica e personale deve esserle comunicato senza indugio, non l’hanno informata tempestivamente che durante l’anno 2012 la signora RI 2 ha svolto un’attività lavorativa presso la __________, dell’aumento di stipendio del signor RI 1 a contare dal 1° gennaio 2013, dell’acquisto di una proprietà immobiliare in __________ e dell’arrivo del signor __________ nell’economia domestica dal 1° aprile (cfr. doc. A1). Gli insorgenti, per contro, sostengono la loro buona fede e di non essere persone di mala fede. Essi hanno osservato, da una parte, di non nascondere di avere ricevuto a suo tempo una lettera riguardo all’obbligo di informazione. Dall’altra, che nel 2012 l’assicurato ha subito un grave incidente che l’ha reso inabile al lavoro per mesi e che in quei momenti il pensiero era altrove. I ricorrenti hanno poi evidenziato, in relazione alla proprietà immobiliare in Portogallo, di avere acquistato il 9 agosto 1999 una vecchia casa disabitata e di pagare sull’immobile le imposte sia in Svizzera che in Portogallo. Essi hanno, inoltre, affermato che __________ dal 1° luglio 2012 vive in un’economia domestica propria, più precisamente in un appartamento della __________. In proposito essi hanno allegato al ricorso una dichiarazione del __________ di __________. Gli assicurati hanno, infine, rilevato che la comunicazione dei fatti in questione ha comunque avuto luogo e che non volevano nascondere alcunché (cfr. doc. I; V). 2.11.   Chiamata a pronunciarsi in merito alla fattispecie questa Corte rileva innanzitutto che i ricorrenti in particolare, da una parte, hanno contestato il fatto che la Cassa abbia considerato che __________ dall’aprile 2012 vive nella loro economia domestica. Essi, al riguardo, hanno precisato, allegando una dichiarazione del 19 agosto 2014 del __________ di __________ che __________ avrebbe al contrario una propria abitazione presso la __________ di __________ (cfr. doc. I; A4). Dall’altra, hanno chiesto di ridurre la somma da rimborsare alla Cassa (cfr. doc. I pag. 2). L’obiezione formulata dagli assicurati circa il luogo dove abita __________ è irrilevante ai fini della soluzione della presente vertenza, come pure risulta irricevibile la domanda di ridurre l’importo da restituire (cfr. doc. I; A4). Infatti il principio del rimborso di prestazioni percepite, dal profilo oggettivo, indebitamente, come pure l’entità dell’importo da rimborsare viene stabilita nella procedura di restituzione. E’ in tale contesto, e non esaminando la domanda di condono, che viene verificata la correttezza delle somme (ad esempio concernenti i redditi e le spese) computate al fine di ricalcolare l’assegno integrativo e/o di prima infanzia al quale un assicurato ha effettivamente diritto (cfr. STCA 39.2013.2 del 18 settembre 2013 consid. 2.10.; STCA 39.2009.1. del 10 settembre 2009; STCA 39.2008.2 del 29 maggio 2008). In concreto nell’ordine di restituzione del 26 febbraio 2014 (cfr. doc. 15A) la Cassa ha precisato di avere calcolato nuovamente le prestazioni di diritto considerando le entrate della moglie relative alla propria attività svolta nel 2012 presso la __________, l’aumento dello stipendio del marito da gennaio 2013, la proprietà immobiliare acquistata in __________ e il fatto che dal mese di aprile 2012 __________ viveva presso la loro economia domestica. Quest’ultima circostanza ha implicato una diminuzione della spesa per l’alloggio computabile per l’unità di riferimento degli insorgenti composta di due adulti e di due figli minorenni, in applicazione dell’art. 9 cpv. 2 Laps ai sensi del quale s e una persona che non fa parte dell’unità di riferimento convive con uno dei suoi membri, dalla spesa per l’alloggio viene dedotta la quota-parte imputabile al convivente (cfr. doc. 11B; 4D; STCA 39.2014.4 del 14 gennaio 2015). La decisione del 26 febbraio 2014 è rimasta incontestata (cfr. doc. 16; 17; 18). Ne discende che gli assicurati non hanno censurato tramite un reclamo interposto alla Cassa l’ammontare da restituire di fr. 3'363.-- conteggiato da quest’ultima alla luce degli elementi di fatto emersi in occasione dell’inoltro della nuova domanda di assegni integrativi nell’aprile 2013. Eventuali censure circa l’importo tenuto conto dalla Cassa a titolo di spesa per l’alloggio nei nuovi conteggi, come pure in relazione ad altre voci dei calcoli, andavano sollevate inoltrando reclamo all’amministrazione contro l’ordine di restituzione del 26 febbraio 2014. 2.12.   Il TCA ritiene, inoltre, utile ribadire che l’art. 30 cpv. 1 Laps, relativo alla notificazione in caso di cambiamento delle condizioni e applicabile in virtù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ad un nuovo calcolo della prestazione in questione facendo capo a dati economici aggiornati e corretti (al riguardo cfr. STF 9C_453/2011 del 15 settembre 2011 consid. 4.1.). 2.13.   In concreto giova evidenziare che nella decisione concernente gli assegni integrativi per il periodo marzo 2012 – febbraio 2013 emessa a favore degli insorgenti il 29 maggio 2012 è stato espressamente indicato che ogni cambiamento delle condizioni personali ed economiche dei membri dell’unità di riferimento doveva essere annunciato immediatamente all’ufficio che ha emanato il provvedimento in questione, in particolare, la variazione dell’unità di riferimento, l’inizio o la cessazione di un’attività lucrativa, nonché l’aumento o la diminuzione del reddito o della sostanza (cfr. doc. 1A). Pertanto, gli assicurati, dopo aver ricevuto la decisione del 29 maggio 2012 relativa agli assegni integrativi e averla letta accuratamente, potevano e dovevano essere al corrente del fatto che la Cassa, in quanto autorità competente (cfr. art. 72 Laf), deve essere informata di ogni cambiamento rilevante ai fini del diritto all’assegno. Come visto, sul provvedimento in questione è chiaramente indicato che l’inizio di un’attività lucrativa, nonché l’aumento del reddito o della sostanza, come pure una modifica dell’unità di riferimento devono essere comunicati. 2.14.   Dalle carte processuali risulta che gli assicurati non hanno tempestivamente informato la Cassa che durante l’anno 2012 la signora RI 2 ha svolto un’attività lavorativa presso la __________ percependo nel 2012 fr. 1’013.-- (cfr. doc. 9C), dell’aumento di stipendio del signor RI 1 a contare dal 1° gennaio 2013 da fr. 5’128.-- lordi al mese a fr. 5'154.-- lordi mensili (cfr. doc. 9A; 9B; 10A), dell’acquisto di una proprietà immobiliare in __________ del valore di fr. 100'000.-- (cfr. doc. 10H) e dell’arrivo del signor __________ nell’economia domestica dal 1° aprile 2012 (cfr. doc. 10N; 10M; 22), bensì unicamente in occasione dell’inoltro di una nuova domanda di assegni integrativi nell’ aprile 2013 (cfr. doc. A1; 10; 8). I ricorrenti stessi hanno del resto riconosciuto di non aver comunicato questi fatti senza indugio, indicando, in relazione a quanto asserito dall’amministrazione circa il fatto che l’informazione è avvenuta soltanto il 16 aprile 2013 (cfr. doc. A1 pag. 3), che l’avviso ha comunque avuto luogo e che non volevano nascondere alcunché (cfr. doc. I). Per quanto attiene al fatto che gli assicurati hanno affermato che in ogni caso la proprietà immobiliare acquistata in __________ è dichiarata all’autorità fiscale svizzera e pagano le relative imposte (cfr. doc. I), va segnalato che non esiste nessun obbligo tra le diverse amministrazioni di segnalare vicendevolmente tutti i dati personali riguardanti assicurati per i quali è stato aperto un incarto, nel senso che ogni informazione acquisita da un ufficio debba automaticamente essere trasmessagli altri organi amministrativi per conoscenza (cfr. STFA P 8/03 del 22 giugno 2004). Il TFA nel caso appena citato, ha, in particolare, osservato che l’autorità cantonale aveva giustamente considerato che in concreto non poteva essere imputata ai responsabili dell’Ufficio AI negligenza alcuna per non aver informato la Cassa di compensazione, e più precisamente il servizio competente per le prestazioni complementari, del fatto che l’assicurato necessitasse, a causa della sua malattia invalidante, di un regime dietetico speciale. Tale principio è stato ribadito nella sentenza P 7/06 del 22 agosto 2006. Al riguardo cfr. pure STCA 42.2013.7 del 11 novembre 2013. A mente di questa Corte la violazione commessa dagli assicurati configura, pertanto, una negligenza grave, per cui l’invocata buona fede non deve essere ammessa relativamente al mancato annuncio dell’esercizio nel 2012 di un’attività lavorativa presso la __________ da parte della moglie, dell’aumento di stipendio del marito a contare dal 1° gennaio 2013, dell’acquisto di una proprietà immobiliare in __________ e dell’arrivo del signor __________ nella loro economia domestica dal 1° aprile 2012. L’infortunio subito dal ricorrente nel 2011 (cfr. doc. 3A) non permette del resto di sovvertire le conclusioni a cui è giunta questa Corte. In effetti è vero che il medesimo ha asserito di essere stato nel 2012, a causa del sinistro, inabile al lavoro e con la testa altrove rispetto alle procedure amministrative (cfr. doc. I; consid. 1.4.). È altrettanto vero, tuttavia, che agli atti non risulta alcuna certificazione medica secondo cui nel 2012, fino all’aprile 2013, lo stato di salute dell’assicurato fosse tale da influire sulla sua capacità di comprendere i suoi obblighi e di gestirsi a livello personale e amministrativo, ovvero sulla sua capacità di discernimento (al riguardo cfr. 8C_865/2008 del 27 gennaio 2009 consid. 6.5.; STCA 42.2013.6 del 2 aprile 2014 consid. 2.10.; STCA 39.2012.4 del 22 maggio 2013 consid. 2.11.). Nemmeno l’insorgente ha peraltro fatto valere che la sua capacità di discernimento fosse compromessa. 2.15.   I ricorrenti, nel ricorso, hanno chiesto di essere sentiti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9C_87/2013 del 18 marzo 2013 consid. 4.1.;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gli insorgenti non hanno formulato un'esplicita richiesta di indire un pubblico dibattimento, né una richiesta di audizione al fine di esporre il proprio punto di vista sulle risultanze probatorie, ma hanno semplicemente chiesto di essere sentiti (cfr. doc. I). Del resto, la documentazione già presente all’inserto consente al TCA di emanare il proprio giudizio, di modo che l’audizione degli assicurati si rivela superflua. 2.16.   Alla luce di quanto sopra esposto, il TCA, non potendo riconoscere la buona fede dei ricorrenti, primo presupposto per ottenere un eventuale condono, deve confermare la decisione su reclamo del 30 luglio 2014 emessa dalla Cassa. A titolo abbondanziale giova osservare che, benché una riduzione dell’importo chiesto in restituzione (cfr. doc. I) non sia possibile, da un lato, poiché - come visto sopra (cfr. consid. 2.11.) - tale somma e le relative voci dei nuovi calcoli degli assegni integrativi avrebbero dovuto essere semmai censurate impugnando con reclamo l’ordine di restituzione del 26 febbraio 2014 che è per contro cresciuto incontestato in giudicato, dall’altro, in quanto, non potendo riconoscere la buona fede degli assicurati, il condono va escluso integralmente, un'eventuale soluzione confacente alle esigenze degli insorgenti può invece essere concordata con la Cassa, ad esempio la possibilità di un pagamento rateale, come del resto evidenziato dalla Cassa stessa nella decisione di diniego del condono del 5 maggio 2014 (cfr. doc. 19B). Questo tema non è, comunque, oggetto della presente vertenza e pertanto il TCA non è tenuto ad occuparsene (cfr. DTF 123 V 230 consid. 3e; STCA 39.2013.8 del 20 novembre 2013 consid, 2.14.; STCA 39.2013.6 del 7 agosto 2013 consid. 2.15.;STCA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