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39.2010.1 vom 19. August 2010</w:t>
      </w:r>
    </w:p>
    <w:p>
      <w:r>
        <w:t>TI Tribunale d'appello, 2010-08-19, IT</w:t>
      </w:r>
    </w:p>
    <w:p>
      <w:r>
        <w:rPr>
          <w:b/>
        </w:rPr>
        <w:t xml:space="preserve">Quelle: </w:t>
      </w:r>
      <w:r>
        <w:t>https://mcp.opencaselaw.ch/entscheid/ti_gerichte_39.2010.1</w:t>
      </w:r>
    </w:p>
    <w:p>
      <w:r>
        <w:t>FR: TI_GERICHTE 39.2010.1 du 19 août 2010</w:t>
      </w:r>
    </w:p>
    <w:p>
      <w:r>
        <w:t>IT: TI_GERICHTE 39.2010.1 del 19 agosto 2010</w:t>
      </w:r>
    </w:p>
    <w:p>
      <w:pPr>
        <w:pStyle w:val="Heading2"/>
      </w:pPr>
      <w:r>
        <w:t>Regeste</w:t>
      </w:r>
    </w:p>
    <w:p>
      <w:r>
        <w:t>Negato diritto ad assegni familiari per eccedenza di reddito. Il comprovato versamento di alimenti, da parte del convivente della richiedente alla moglie da cui vive separato, va considerato spesa vincolata. Rinvio atti per nuovo calcolo</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Il reddito ipotetico minimo è pari al doppio della soglia di intervento per il titolare del diritto ai sensi della Laps." L’art. 54 enuncia inoltre che: " 1 L'importo massimo dell'assegno corrisponde alle soglie di intervento definite dalla Laps per il genitore o i genitori, i figli di età superiore ai tre anni e i figli per i quali sussiste il diritto all'assegno di età inferiore ai tre anni. 2 Dall'importo erogabile vanno dedotti gli eventuali assegni per figli e di formazione." Dal tenore di queste norme legali, risulta che la LAF, la cui prima revisione, per quanto attiene agli assegni integrativi e di prima infanzia, è entrata in vigore il 1° febbraio 2003, per il calcolo degli assegni integrativi rinvia alla Laps, anch’essa in vigore dal 1° febbraio 2003 (cfr. BU 55/ 2002 del 24 dicembre 2002 pag. 489 segg.; BU 3/2003 del 31 gennaio 2003 pag. 24 segg.; BU 3/2003 del 31 gennaio 2003 pag. 24 segg.). 2.3.   Secondo l'art. 4 Laps: "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Giusta l'art. 2a del Regolamento Laps: " La convivenza è considerata stabile se, alternativamente: a) vi sono figli in comune; b) la convivenza procura gli stessi vantaggi di un matrimonio; c) la convivenza è durata almeno 6 mesi."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così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i coniugi giusta la legge tributaria si applica anche alle famiglie monoparentali e alle coppie conviventi.(cpv. 1) Fanno parte dei redditi computabili le entrate e le parti di sostanza, mobiliare e immobiliare, alle quali il richiedente ha rinunciato.(cpv. 2 ) Non sono considerati redditi le prestazioni sociali ai sensi della presente legge. (cpv. 3) Il Consiglio di Stato determina in quale misura vanno computati i redditi dei minorenni. (cpv. 4)" La spesa computabile è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Il 1° gennaio 2008 è entrato in vigore l’art. 10 cpv. 2 Laps (cfr. BU 6/2008 del 15 febbraio 2008), secondo cui: "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L’art. 10 cpv. 3 Laps, in vigore dal 1° gennaio 2008 (cfr. BU 6/2008 del 15 febbraio 2008), enuncia poi che: " I limiti dell’art. 10 cpv. 2 vengono adeguati contemporaneamente ai limiti della legislazione sulle prestazioni complementari all’AVS/AI e nella misura dell’incremento deciso dall’autorità federale per le prestazioni complementari all’AVS/AI. ” 2.4.   L’art. 32 lett. c della Legge tributaria (LT) stabilisce che  sono dedotti dai proventi “ gli alimenti versati al coniuge divorziato o separato legalmente o di fatto nonché gli alimenti versati a un genitore per i figli sotto la sua autorità parentale,escluse tuttavia le prestazioni versate in virtù di un obbligo di mantenimento o di assistenza fondato sul diritto di famiglia”. Questa norma è da mettere in relazione con l’art. 22 lett. f della LT secondo cui sono parimenti imponibili “gli alimenti percepiti dal contribuente in caso di divorzio o separazione legale o di fatto, nonché gli alimenti percepiti da un genitore per i figli sotto la sua autorità parentale” e con l’art. 23 lett. e della stessa LT secondo cui sono esenti da imposta “le prestazioni versate in adempimento di un obbligo fondato sul diritto di famiglia, eccettuati gli alimenti di cui all’art. 22 lettera f)”. 2.5.   Nella presente fattispecie non è più contestato  ed è peraltro comprovato (cfr. le condizioni della separazione consensuale , omologate dal Tribunale di __________ l’11 marzo 2009, doc. 56 c, punto 5 e 56 g e la dichiarazione della diretta interessata del 12 aprile 2010, doc. B ) che il convivente dell’assicurata,  il quale fa parte della sua unità di riferimento (cfr. art. 4 Laps; art. 2° Regolamento Laps; Doc. A2 e Doc. A3) deve versare mensilmente l’importo di 1'000 euro alla moglie da cui vive separato. Secondo questo Tribunale , alla luce dell’art. 8 lett. c .Laps in relazione con l’art. 32cpv.1 lett. c LT (cfr. consid. 2.4 e 2.4),  questo importo deve essere preso in considerazione a titolo di spesa vincolata al momento di effettuare il calcolo dell’assegno integrativo e dell’assegno di prima infanzia. In tale contesto va ricordato che anche la Legge federale sulle prestazioni complementari all’assicurazione per la vecchiaia, i superstiti e l’invalidità, che pure è fondata sul principio della selettività, riconosce all’art. 3 lett. e “ le pensioni versate in virtù del diritto di famiglia”. La giurisprudenza federale ha stabilito che le pensioni alimentari possono essere riconosciute come spese solo nel caso in cui sono state effettivamente versate (cfr. Pratique 2004 pag. 149 seg.) Inoltre, in una sentenza pubblicata in DTF 120 V 442 seg., l'Alta Corte ha ricordato che: " b) Nach der Rechtsprechung zu Art. 23 Abs. 2 AHVG sind, wenn der Zivilrichter die Unterhaltspflicht rechtskräftig beurteilt hat, die Organe der Sozialversicherung an seinen Entscheid gebunden und nicht mehr befugt, über die rechtskräftig entschiedene Frage selbständig zu befinden ( BGE 109 V 244 Erw. 2b; ZAK 1991 S. 138 Erw. 3b). Dies gilt auch im Rahmen von Art. 3 Abs. 1 lit. f ELG (ZAK 1991 S. 138 Erw. 3a)." La decisione su reclamo impugnata che non ha considerato tale importo, deve dunque essere annullata e gli atti rinviati all'amministrazione affinché operi un nuovo calcolo degli assegni integrativi e di prima infanzia che lo contempli. 2.6.   L'amministrazione non ha preso in considerazione gli alimenti versati da __________ alla moglie da cui vive separato, ritenendo che, dopo la nascita del figlio __________, avuto da RI 1 (cfr. Doc. 71-75), tale obbligo di mantenimento non corrisponde più alla nuova situazione economica. In una sentenza, relativa alle prestazioni complementari, pubblicata in RCC 1991 pag. 143 seg. il Tribunale federale delle assicurazioni (dal 1° gennaio 2007: Tribunale federale) ha stabilito che se l'assicurato versa pensioni alimentari del diritto di famiglia manifestamente troppo elevate in rapporto alle sue possibilità finanziarie, e le prospettive di successo in una procedura di modifica di diritto civile sono constatate, le condizioni di rinuncia ai sensi di questa disposizione sono adempiute se il pretendente, dopo la scadenza del termine fissatogli con indicazioni delle conseguenze nel caso d'omissione, desiste dal promuovere un'azione legale che gli era possibile. Per la durata di questo termine e fino alla chiusura della procedura di modifica, si deve concedergli prestazioni senza tener conto di un importo a cui ha rinunciato. In quell'occasione l'Alta Corte ha in particolare sviluppato le seguenti considerazioni: " Lorsque le juge civil a prononcé un jugement définitif, les organes des assurances sociales sont liés par le jugement et ne peuvent plus se prononcer indépendamment sur la question tranchée définitivement (ATF 109 V 244 con­sid. 2b; lmboden/Rhinow, Schweizerische Verwaltungsrechtsprechung, 6 e édi­tion, voll. II, p. 1056 s. avec références). Il est par conséquent en principe interdit à l'administration de s'écarter lors du calcul des prestations complémentaires de la contribution d'entretien déterminée par le juge, indépendamment du fait que le jugement correspondant, entré en force de chose jugée, était correct du poi nt de vue matériel et qu'il aurait résisté à un examen de l'instance de recou rs si les moyens de droit avaient été interjetés (ATF 109 V 244 consid. 2b). D'autre part, le paiement des contributions d'entretien relevant du droit de la famille qui ont été cons idérablement réduites lors d'un réexamen par le juge équivaudrait à une mise à contribution injustifiée des PC par le débiteur des contributions d'entretien, ce qui est intolérable. La personne qui demande les prestations ne peut pas dans un tel cas ê tre libérée de l'obligation de saisir les possibilités juri­diques dont elle dispose pour faire réduire ou supprimer les contributions d'entretien. M ê me si l'o n ne peut pas lui imputer, selon ce qui vient d' ê tre dit pl us haut en tant qu'acte de dessaisissement pertinent la conduite du procès omise pendant la période précédant le dép ô t de la demande, l'obligation m e n­tionnée continue cependant d 'exister. Lorsque l'administration parvient après un examen approprié à la conclusion que l'assuré doit payer des contributions d'entretien visiblement trop élevées par rapport à ses possibilités financières, que des chances de succès claires sont démontrées et qu'il est raisonn able­ment admissible de conduire un procès, elle doit signaler les revenus dessaisis au demandeur de prestation et lui fixer un délai approprié pour introduire la procédure en modification. Elle doit y joindre l'avertissement que dans le cas con­traire les prestations seront réduites ou supprimées après indication de la perle de gain présumée. Pour la durée  de ce délai et (au cas où celui-ci serait pro­longé) jusqu'au règlement définitif de la procédure il faut lui accorder les PC sans prendre en considération la situation de dessaisissement. Lorsque, en revanche, l'issue du procès semble incertaine parce que les chances de succès et les dangers de perte s'équilibrent ou que ces derniers ne sont pour le moins pas insignifiants, le requérant a le pouvoir de décider s'il souhaite ou non enga­ger une procédure. Car l'obligation de réduire le dommage (voir à ce propos ATF 113 V 28 avec références, RCC 1987 p. 458 consid. 4) ne va pas jusqu'à obliger l'assuré à engager, dans de tels cas, un procès en matière de prestations complémentaires. 4a. Dans le cas présent, la demande de modification au sens de l'ancien art. 172 CCS, resp. de l'art. 179 CCS aurait sans doute eu de bonnes chances de succès après que l'intimé, sans fortune, avait renoncé en 1981 à son activité lucrative exercée au moment de I'accord conclu devant le juge (20 novembre 1979) et qu'il ne lui restait p. ex. en 1987 de ses prestations de vieillesse totales de 3572,85 francs (2250.- francs rente de vieillesse pour couple et 1322,85 francs rente de vieillesse de la caisse de retraite) plus qu'un tiers (1172,85 francs) après déduction des pensions alimentaires en faveur de son épouse, il aurait également été raisonnable d'exiger une telle procédure de l'intimé. b. Il ressort cependant du dossier que l'intimé n'a été invité ni par la caisse de compensation ni par le tribunal cantonal à engager une procédure de révision. La première instance l'a bien rendu attentif lors d'une audition personnelle (du 4 mars 1988) - de m ê me que la caisse de compensation du canton de T (lettre du 17 octobre 1988) et le TFA (arrét du 18 novembre 1985) aux différentes possi­bilités pour adapter l'obligation d'entretien à la situation économique modifiée depu i s la publication de la convention de séparation du 20 novembre 1979 et a suspendu, par la suite, la procédure concernant le procès civil envisagé par I'assuré et qu'il n'a pas introduit pour des motifs personnels. Le seul fait que l'on indique à l'assuré les moyens de droit ne permet cependant pas de conclure déjà à un acte de dessaisissement ayant un caractère juridique. Il est bien plut ô t nécessaire que l'administration resp. le juge des assurances sociales informe la personne qui demande la prestation sur les revenus manquants du fait qu e le juge n'a pas modifié le jugement concernant les contributions d'entretien l'invite à commencer une procédure en modification dans un délai appropr ié. Elle doit y joindre l'avertissement qu'en cas d'omission, la PC sera calculée à l'échéance du délai en tenant compte de la perte de revenu présumée ce qui entra î nera une réduction, voire une suppression du droit. Ce n'est que lorsque ces conditions sont remplies que l'on peut considérer son comportement comme un dessaisissement au sens de l'art. 3 al. 1 let. f LPC. Au vu de ce qui est exposé ci-devant, il faut rejeter le recours de droit adminis­tratif sur ce point. " In tale contesto va ricordato che l'art. 11 cpv. 1 lett. h LPC del 6 ottobre 2006 prevede che sono computati come reddito "i proventi e i beni a cui l'assicurato ha rinunciato". Anche l'art. 6 cpv. 2 Laps stabilisce che "fanno parte dei redditi computabili le entrate e le parti di sostanza, mobiliare o immobiliare alle quali il richiedente ha rinunciato". A proposito della citata disposizione della legge sulle prestazioni complementari, E. Carigiet – U. Koch, "Ergänzungsleistungen zur AHV/IV", Ed. Schultess, Zurigo-Basilea-Ginevra 2009, pag. 146, rilevano quanto segue: " Anders sieht die Rechtslange aus, wenn sich die Verhältnisse nach Festsetzung der Unterhaltsbeiträge ändern. Hier sind die unterhaltsverpflichteten EL-Berechtigten anzuhalten, eine Abänderung der Unterhaltsbeiträge vor dem Gericht durchzusetizen, sofern die Prozessführung zumutbar ist und klare Gewinnchancen bestehen. Die EL-Stelle hat der EL-berechtigten Person eine angemessene Frist zur Einleitung des Abänderungsverfahrens zu gewähren. Dies hat mit der Androhung zu erfolgen, dass die EL im Unterlassungsfall nach Massgabe des mutmasslichen Einkommensverlustes entfallen oder gekürzt werden." Dal canto suo R. Jöhl "Ergänzungsleistungen zur AHV/IV" in SBVR. Soziale Sicherheit, Ed. Helbing &amp; Lichtenhahn, Basilea-Ginevra-Monaco 2007, su questo tema si è così espresso: " Die andere Sachverhaltskonstellation unterscheidet sich dadurch von der eben dargestellten, dass erst eine nachtr ä gliche Ver ä nderung des Sachverhalts, i.d.R. ei n e Verschlechte­rung der wirtschaftlichen Verh ä ltnisse der unterhaltspflichtigen versicherten Person, d ie fr ü her festgesetzten Unterhaltsbeitrage als ü berh ö ht erscheinen l ä sst . Hier kann di e Verzichtshandlung na t ü rlich nicht darin erblickt werden, dass die versicherte Person i n der Vergangenheit zu hohe Unterhaltsbeitr ä ge akzeptiert h ä tte, denn damals waren die Unter­haltsbeitrage ja noch angemessen. Von einem Einkommensverzicht kann erst dann gespro­chen werden, wenn die unterhaltspflichtige versicherte Person na c h der Verschlechterung ihrer wirtschaftlichen Situation die vom Zivilrecht zur Verf ü gung gestellten Möglichkeit, die Unterhalts pflicht zu reduzieren, nicht wahrnimmt. Die EL -Durchf ü hrungsstelle hat diese spezifische Schadenminderungspflicht der versicherten Person in analoger Anwen­dung des Art. 21 Abs. 4 Satz 2 ATSG mittels des sogenannten Mahn- und Bedenkzeitver­fahrens durchzusetzen. Dabei wird die versicherte Person angewiesen, das im konkreten Fall Notwendige vorzukehren, um eine angemessene Reduktion ihrer Unterhaltspflicht zu erreichen. Diese Abmahnung der Schadenminderungspflicht wird mit der Androhung ver­bunden, dass bei einem unben ü tzten Ablauf der gesetzten Bedenkfrist oder bei einem un­gen ü genden Einsatz in der Durchsetzung des zivilrechtlichen Ab ä nderungsbegehrens nur noch die - hypothetischen - Unterhaltsbeitrage angerechnet w ü rden, die mit einer pflicht­gemassen und erfolgreichen Durchsetzung des Ab ä nderungsbegehrens h ä tten erreicht werden k ö nnen. Kommt die versicherte Person der abgemahnten konkreten Schadenminderungspflicht nach und geht sie dabei mit pflichtgem ä sser Sorgfalt ans Werk, so bleibt es bis zum Abschluss des zivilrechtlichen Ab ä nderungsverfahrens bei der Anrechnung der - vermutlich - ü berh ö hten Unterhaltsbeitrage. Ist die versicherte Person mit ihrem Ab ä nderungsbegehren erfolgreich, stellt die Wirksamkeit des entsprechenden zivilrechtlichen Entscheides einen Revisionsgrund dar. Die laufende Erg ä nzungsleistung kann auf diesen Zeitpunkt den tieferen familienrechtlichen Beitr ä gen angepasst, d.h. herabgesetzt werden F ü hrt das zivilrechtliche Ab ä nderungsverfahren - trotz der zumutbaren Aussch ö pfung al ler rechtlichen M ö glichkeiten - nicht zu eine r Reduktion der Unterhaltsbeiträg e , so bleibt es bei der Anrechnung der bisherigen familienrechtlichen Unterhaltsbeitr ä ge. " Nel caso concreto spetterà dunque all'amministrazione stabilire, dopo avere attentamente esaminato le osservazioni del rappresentante dell'assicurata (cfr. Doc. VII), se sia ragionevolmente esigibile da __________ l'inoltro di una richiesta di modifica della convenzione omologata dal giudice civile. In caso di risposta positiva la Cassa applicherà, per analogia, l'art. 21 cpv. 4 LPGA. 2.7.   Nella risposta di causa l'amministrazione ha pure sottolineato che "non ritiene computabile l'importo di euro 1'000 mensili tenuto conto delle rinunce a proprietà immobiliari e di redditi sottoscritte dal signor __________ nell'accordo privato con l'ex-moglie e omologato dal giudice". Secondo questo Tribunale se l'amministrazione ritiene che ci troviamo in presenza di un caso d'applicazione dell'art. 6 cpv. 2 Laps, dovrà tenerne conto al momento di effettuare il nuovo calcolo (cfr. consid. 2.5). 2.8.   Infine, per quel che riguarda le spese, va ricordato che la procedura è gratuita per le parti (cfr. art. 28 Lptca). Non vengono inoltre assegnate ripetibili al rappresentante (cfr. art. 27 Lptca) dell'assicurata. Il papà di RI 1 è infatti una persona "non giurista e apparentemente non in possesso di una specifica formazione nella specifica materia" (cfr. STFA K 123/06 del 6 dicembre 2007). In una precedente sentenza K 63/06 del 5 settembre 2007 l'Alta corte aveva invece rilevato: " 5.4 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 DTF 126 V 11 consid. 1). 5.4.1 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 5.4.2 Un diritto a ripetibili (ridotte), in applicazione dell'art. 159 cpv. 1 OG, è pure stato riconosciuto a un'assicurata patrocinata da un medico (consid. 7 non pubblicato in DTF 122 V 230 ):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 DTF 126 V 11 consid. 5 pag. 13; giurisprudenza che è stata confermata anche sotto l'imperio della LPGA dalla sentenza del Tribunale federale delle assicurazioni I 245/04 del 14 aprile 2005).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 DTF 124 V 338 consid.</w:t>
      </w:r>
    </w:p>
    <w:p>
      <w:r>
        <w:rPr>
          <w:b/>
        </w:rPr>
        <w:t>E. 4</w:t>
      </w:r>
    </w:p>
    <w:p>
      <w:r>
        <w:t>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 5.5 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 110 V 132 consid. 4d pag. 134). Ne discende che il ricorso dell'assicuratore ricorrente merita di essere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