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39.2004.9 vom 2. August 2004</w:t>
      </w:r>
    </w:p>
    <w:p>
      <w:r>
        <w:t>TI Tribunale d'appello, 2004-08-02, IT</w:t>
      </w:r>
    </w:p>
    <w:p>
      <w:r>
        <w:rPr>
          <w:b/>
        </w:rPr>
        <w:t xml:space="preserve">Quelle: </w:t>
      </w:r>
      <w:r>
        <w:t>https://mcp.opencaselaw.ch/entscheid/ti_gerichte_39.2004.9</w:t>
      </w:r>
    </w:p>
    <w:p>
      <w:r>
        <w:t>FR: TI_GERICHTE 39.2004.9 du 2 août 2004</w:t>
      </w:r>
    </w:p>
    <w:p>
      <w:r>
        <w:t>IT: TI_GERICHTE 39.2004.9 del 2 agosto 2004</w:t>
      </w:r>
    </w:p>
    <w:p>
      <w:pPr>
        <w:pStyle w:val="Heading2"/>
      </w:pPr>
      <w:r>
        <w:t>Regeste</w:t>
      </w:r>
    </w:p>
    <w:p>
      <w:r>
        <w:t>condono di assegni prima infanzia ricevuti a torto percependo indennità giornaliere LAINF retroattive.Buona fede ammessa.Prima della decisione LAINF l'assicurato non sapeva se aveva diritto a IG,né l'importo-omissione di informare negligenza lieve.Comunicato poi decisione entro termine ragionevole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février 1999)". In simili condizioni, visto l'esito della procedura, la Cassa verserà all'assicurato, rappresentato dall'RA 1, che ha redatto l’atto ricorsuale (cfr. consid. 1.5., 1.7.; 1.11.), fr. 200.-- a titolo di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