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39.2001.78 vom 14. März 2002</w:t>
      </w:r>
    </w:p>
    <w:p>
      <w:r>
        <w:t>TI Tribunale d'appello, 2002-03-14, IT</w:t>
      </w:r>
    </w:p>
    <w:p>
      <w:r>
        <w:rPr>
          <w:b/>
        </w:rPr>
        <w:t xml:space="preserve">Quelle: </w:t>
      </w:r>
      <w:r>
        <w:t>https://mcp.opencaselaw.ch/entscheid/ti_gerichte_39.2001.78</w:t>
      </w:r>
    </w:p>
    <w:p>
      <w:r>
        <w:t>FR: TI_GERICHTE 39.2001.78 du 14 mars 2002</w:t>
      </w:r>
    </w:p>
    <w:p>
      <w:r>
        <w:t>IT: TI_GERICHTE 39.2001.78 del 14 marzo 2002</w:t>
      </w:r>
    </w:p>
    <w:p>
      <w:pPr>
        <w:pStyle w:val="Heading2"/>
      </w:pPr>
      <w:r>
        <w:t>Regeste</w:t>
      </w:r>
    </w:p>
    <w:p>
      <w:r>
        <w:t>Sentenza o decisione senza scheda</w:t>
      </w:r>
    </w:p>
    <w:p>
      <w:pPr>
        <w:pStyle w:val="Heading2"/>
      </w:pPr>
      <w:r>
        <w:t>Erwägungen</w:t>
      </w:r>
    </w:p>
    <w:p>
      <w:r>
        <w:rPr>
          <w:b/>
        </w:rPr>
        <w:t>E. 19</w:t>
      </w:r>
    </w:p>
    <w:p>
      <w:r>
        <w:t>febbraio 2002 la Cassa ha proposto di respingere il gravame con le seguenti motivazioni: " (…) Prima di entrare nel merito delle varie contestazioni va precisato che la Cassa deve accertare la situazione economica stato al 1. maggio 2001. In questo senso la dichiarazione d'imposta 2001/2002 (= anni di computo 1999/2000) è certo indicativa ma non determinante ai fini dell'eventuale diritto agli assegni. Questa precisazione risponde alla ricorrente qualora pensasse che il diritto agli assegni dipende dal reddito imponibile fiscale. Nell'allestimento dalla domanda di assegni come pure nell'allegata dichiarazione d'imposta la signora _________ ha indicato che, il marito partecipa a una comproprietà immobiliare: sono stati precisati i valori di stima, i debiti, i redditi immobiliari nonché gli oneri ipotecari. Trattandosi di particelle (_______, ______ e ______) che non servono da abitazione primaria ai ricorrenti, la Cassa ne ha ordinato la perizia per conoscere il valore commerciale. In seguito ad ulteriori accertamenti e dopo aver ottenuto le perizie, la Cassa ha notificato le due decisioni contestate. Nell'atto ricorsuale per la prima volta la ricorrente segnalava che le comproprietà alle quali partecipava suo marito erano gravate da usufrutto a favore di terzi (padre e zio). La Cassa chiese quindi l'invio degli atti notarili di donazione dai quali l'usufrutto non risulta completo de jure ma lo è di fatto. Questa situazione comporta un radicale cambiamento della tabella di calcolo contestata. Le disposizioni vigenti consentono lo stralcio di tutti gli elementi di calcolo riferibili alla sostanza immobiliare: in tal senso sono quindi da stralciare le voci 100, 102, 206, 221, e 311. In calcolo rettificato di presenta nel modo seguente: FABBISOGNO 105   Contributo assicurazione malattia                          6132 111   Pigione lorda annua                                15600 134   Pigione ammessa                                                            15000 130   Fabbisogno vitale                                                  39020 TOTALE FABBISOGNO (1)                                                          60152 SOSTANZA 200   Libretti di risparmio e di deposito                          41889 201   Titoli                                                                       83833 208   Altri fattori della sostanza                                      15000 222   Parte sostanza non computabile           70000 TOTALE SOSTANZA (2)                                                               73722 REDDITO 235   Sostanza computabile (1/15 di 73722)                   4914 300   Reddito da attività dipendente 61751 312   Interessi da libretti risparmio e deposito                    802 318   Assegno di base                                                     4392 TOTALE REDDITO (3)                                                                  71859 CALCOLO DELL'ASSEGNO FAMILIARE importo massimo erogabile per anno:                                           11708 Assegno annuo: 60152 (1) - 71859 (3): 0 Assegno mensile dal 01.05.2001 (1/12 assegno annuo): 0 Per quanto attiene gli altri elementi contestati si precisa quanto segue: a)   il contributo all'assicurazione malattia di fr. 6'132.- annui riguarda l'assicurazione obbligatoria ed è corretto secondo i certificati d'assicurazioni inviatici; b)   il reddito del lavoro netto corrisponde a fr. 63'177.- annui dai quali si sono dedotte le spese di trasporto per recarsi al lavoro di fr. 1'425.60: per queste spese si è tenuto conto dei quattro viaggi giornalieri per 220 giorni lavorativi all'anno (km 2.7 x 4 x 220 x 0.60 cts.); c)   la cifra 222 di fr. 70'000.- rappresenta la franchigia di sostanza non computabile per una famiglia di quattro persone; d)   l'assegno di base di fr. 4'392.-, contrariamente a quanto ritiene la ricorrente, è computabile nei redditi del nucleo familiare. Visto quanto precede si chiede a codesto lodevole Tribunale di voler respingere i ricorsi così come proposto dalla Cassa in quanto la famiglia _________ dispone di redditi per fr. 71'859.- all'anno a fronte di un fabbisogno di fr. 60'152.-." (Doc. _) 1.5.   Il doc. _ è stato sottoposto all'assicurata, alla quale è stata data la possibilità di esprimersi in merito (cfr. doc. _). Ella è tuttavia rimasta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l'assegnazione di un assegno integrativo e di un assegno di prima infanzia. L'art. 24 LAF stabilisce come segue le condizioni per poter beneficiare dell'assegno integrativo: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Secondo l’art. 28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L’art. 33 del Regolamento LAF (Reg. LAF), adottato dal Consiglio di Stato il 5 febbraio 1997,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(art. 34 LAF). 2.3.   L’assegno di prima infanzia è regolato agli art. 31ss LAF. L’art. 32 LAF prevede in particolare che " 1 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Il reddito ipotetico minimo è pari al doppio del limite minimo per persona sola secondo la legislazione sulle prestazioni complementari all'AVS/AI. Il diritto all'assegno sorge il primo giorno del mese in cui sono soddisfatte le condizioni legali, ma al più presto il primo giorno del mese in cui nasce il figlio.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Da quanto esposto all’art. 32 lett. c LAF, che richiama l’art. 24 cpv. 1 lett. c LAF, emerge che il calcolo per stabilire il diritto all’assegno di prima infanzia corrisponde a quello relativo all’assegno integrativo. 2.4.   L’art. 3b della Legge federale sulle prestazioni complementari (LPC), a cui rinvia l’art.</w:t>
      </w:r>
    </w:p>
    <w:p>
      <w:r>
        <w:rPr>
          <w:b/>
        </w:rPr>
        <w:t>E. 24</w:t>
      </w:r>
    </w:p>
    <w:p>
      <w:r>
        <w:t>cpv. 1 lett. c LAF, entrato in vigore con la terza revisione delle PC il 1 gennaio 1998, prevede che le spese riconosciute si compongono di un importo destinato alla copertura del fabbisogno vitale, per anno, pari, al minimo per le persone sole, a fr. 14’690.--, per i coniugi, almeno 22’035.-- franchi e per gli orfani e per i figli che danno diritto a una rendita per figli dell'AVS o dell'AI, a fr. 7’745.--. Per i due primi figli si prende in considerazione la totalità dell'importo determinante, per due altri figli due terzi ciascuno (fr. 5'164.--) e per ogni altro figlio un terzo (fr. 2'582.--). Dal 1° gennaio 2001 il fabbisogno è fissato a fr. 15'280.-- al minimo e fr. 16'880.-- al massimo, fr. 22'920.-- al minimo e fr. 25'320.-- al massimo, rispettivamente fr. 8'050.-- al minimo e fr. 8'850 al massimo (cfr. Ordinanza 01 sull'adeguamento delle prestazioni complementari all'AVS/AI del 18 settembre 2000; Decreto esecutivo concernente la legge federale sulle prestazioni complementari all’AVS/AI del 6 dicembre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2.5.   In concreto quindi il fabbisogno vitale della famiglia della ricorrente, formata dalla madre, dal padre e da due figli, è pari a fr. 39'020.--, come indicato dalla Cassa. La pigione pagata mensilmente dalla ricorrente ammonta a fr. 1'100.-- mensili. Il canone annuo è pari, pertanto, a fr. 13'200.--, a cui si aggiungono fr. 1'800.-- annui a titolo di spese accessorie (cfr. doc. _ agli atti dell'amministrazione). Visto che la somma complessiva di fr. 15'000.-- corrisponde al massimo riconosciuto, la Cassa ha pure correttamente computato l'importo lordo della pigione effettiva. 2.6.   Per stabilire l'ammontare degli assegni vanno inoltre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2.7.   Per quanto attiene alle modalità di computo del premio per l’assicurazione malattia, ai fini del calcolo dell'assegno integrativo va computato unicamente il premio relativo all'assicurazione obbligatoria contro le malattie a carico della famiglia e quindi all’assicurazione sociale secondo la LAMal (art. 28 cpv. 3 LAF e 33 RegLAF). Gli eventuali premi che concernono le prestazioni complementari alla LAMal non vengono per contro computati (cfr. Rapporto di maggioranza del 23 maggio 1996 p. 36). Inoltre, per quanto riguarda la modalità di calcolo dei premi dell'assicurazione malattia, la LAF non rinvia alla LPC. Quindi, per questo costo, i criteri di computo di tale legge, che si fonda sul premio medio cantonale (cfr. art. 3b cpv. 3 LPC), non sono rilevanti per il calcolo degli assegni familiari. Infine va evidenziato che è computabile il premio netto e meglio va tenuto conto di eventuali sussidi erogati agli interessati. L’art. 28 cpv. 2 LAF precisa infatti che va tenuto conto del premio per l’assicurazione sociale ed obbligatoria contro le malattie a carico della famiglia (cfr. in proposito il rapporto di maggioranza della commissione della gestione del 23 maggio 1996 p. 36). Nella fattispecie il premio di base, ammonta a fr. 6'132.-- annui (fr. 231.30.-- premio mensile per l'assicurata, fr. 132.90.-- premio per il marito; fr. 73.40-- mensili per ciascuno dei due figli; cfr. doc. _ agli atti dell'amministrazione). Il calcolo effettuato dalla Cassa è pertanto corretto. 2.8.   Per quanto concerne gli assegni di base, giusta l'art. 8 LAF, essi sono attribuiti ai salariati in caso di infortunio o di malattia, cessato il diritto al salario, per ulteriori dodici mesi consecutivi di incapacità al lavoro; dall'importo dell'assegno è dedotta la quota-parte corrisposta allo stesso titolo dall'ente assicuratore. L'importo dell'assegno è di fr. 183.-- mensili per figlio (cfr. art. 16 LAF). La Cassa ha dunque correttamente computato la somma di fr. 4'392.-- a titolo di assegni di base per i figli _______ e ________. L'importo dell'assegno di base, secondo gli art. 24 cpv. 1 lett. c LAF (cfr. consid. 2.2) e 32 cpv. 1 lett. c LAF (cfr. consid. 2.3) deve essere infatti conteggiato tra i redditi per determinare il diritto ad eventuali assegni integrativi e di prima infanzia. 2.9.   Secondo l'art. 23 cpv. 1 e 2 OPC AVS-AI, applicabile anche all'accertamento e al calcolo degli assegni di famiglia in virtù del rinvio di cui all'art.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Per l’art. 29 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La stessa disposizione è prevista per l'assegno di prima infanzia all'art. 37 LAF.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Infine l'art. 59 Reg.LAF sancisce che: " In caso di modifica dell'assegno integrativo ai sensi degli art. 29 LAF e art. 35 e 36 Reg. LAF, l'assegno di prima infanzia è conseguentemente aumentato, ridotto o soppresso." Pertanto, sulla base dell'art. 25 cpv. 1 lett. c OPC, al quale la LAF rinvia in modo generale (cfr. art. 28 e 46 LAF), determinanti sono i nuovi redditi, calcolati sulla base di un anno. Infatti se nel corso dell'anno civile le spese riconosciute dalla legge, i redditi determinanti e la sostanza subiscono una diminuzione o un aumento considerevoli per un periodo che si presume abbastanza lungo, per il calcolo delle PC ci si dovrà basare sulle nuove spese e i sui nuovi redditi, convertiti in spese annue e redditi annui e sulla sostanza disponibile nel momento in cui ha avuto luogo la modifica (cfr. Direttive UFAS sulle prestazioni complementari all'AVS/AI, cifra 7005). 2.10.   Nel caso concreto il reddito da attività dipendente conseguito nel 2001 corrisponde a fr. 63'177.-- annui  (61'642.50 + 1'535 quale reddito per la gestione della comunione ereditaria, cfr. doc. _ e _ agli atti dell'amministrazione) dal quale la Cassa ha dedotto (in sede di risposta) fr. 1'425.60 (cfr. doc. _ agli atti dell'amministrazione) quali spese di trasferta. Per quanto concerne i costi relativi all'automobile va rilevato che l’art. 11a OPC al quale la LAF rinvia (cfr. 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entrano in linea di conto se non vi sono mezzi pubblici a disposizione oppure l’utilizzo non è ammissibile, ad esempio, per la lontananza della prossima fermata (RCC 1980 p. 125, 127, 128 consid. 3c; A. Rumo Jungo, op. cit., p. 52 e 53). Nel Canton Ticino, per accertare la deducibilità delle spese di trasferta l'autorità fiscale si fonda sul decreto esecutivo del Consiglio di Stato del 27 ottobre 1998 (RDAT II 1993 no. s6t p. 401). Secondo l'art. 2 del citato decreto esecutivo " il contribuente con attività lucrativa dipendente può dedurre le spese necessarie al conseguimento del proprio reddito che sono in rapporto di causalità diretta con quest’ultimo” Per l’art. 3 cpv. 1 lett. a " sono considerate spese di trasporto quelle causate al contribuente per trasferirsi dal luogo di domicilio a quello in cui lavora. Le relative deduzioni sono stabilite come segue: a) per l’uso dei mezzi di trasporto pubblici: la spesa effettiva” " Eccezionalmente, se nessun mezzo pubblico è a disposizione o se il contribuente non può servirsene (es. infermità, distanza notevole dalla più vicina fermata, orario sfavorevole, ecc.) é ammessa una deduzione fino a 35 cts. il km per le motociclette (cilindrata oltre 50 cmc, targa di controllo con fondo bianco) e fino a 60 cts. il km per le automobili” (cpv. 2). " La deduzione per il tragitto di andata e ritorno a mezzogiorno non può in ogni caso superare quella massima ammessa per i pasti consumati fuori casa” (fr. 13.-- al giorno o fr. 2800.-- l'anno; cpv. 3). Nel caso concreto il calcolo operato dalla Cassa è corretto poiché rispecchia i parametri fissati dalla legge (cfr. doc. _ agli atti dell'amministrazione e art. 3b cpv. 3 lett. a LPC, consid. 2.6). 2.11.   L’art. 3c cpv. 7 lett. b LPC il Consiglio federale disciplina la valutazione dei redditi determinanti, delle spese riconosciute, nonché della sostanza. Secondo l'art. 17 OPC -AVS/AI, nella versione in vigore fino al 31 dicembre 1998 "1) La valutazione della sostanza computabile deve essere effettuata secondo le regole stabilite dalla legislazione sull'imposta cantonale diretta del Cantone di domicilio. 2) Se tali regole non esistono, la sostanza computabile deve essere valutata secondo le regole stabilite per le persone morali dalla legislazione sull'imposta federale diretta. 3) I Cantoni possono considerare quali determinanti le regole che la legislazione sull'imposta federale diretta stabilisce per le persone morali. 4) La sostanza immobiliare che non serve di abitazione al richiedente o a una persona compresa nel calcolo delle prestazioni complementari deve essere computata al valore corrente." Se la sostanza immobiliare serve di abitazione dell'assicurato, fa stato il cpv. 1 dell'art. 17 OPC, secondo il quale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Inoltre, con effetto dal 1 gennaio 1999 i capoversi 2 e 3 dell’art. 17 sono stati abrogati, mentre sono stati aggiunti i capoversi 5 e 6, del seguente tenore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Invece del valore venale, i Cantoni possono applicare uniformemente il valore di ripartizione determinante per la ripartizione fiscale intercantonale." La modalità di calcolo prevista dal capoverso 6 non è stata fatta propria dal Canton Ticino, che continua a fondarsi su quanto stabilito al capoverso 4 e sulla giurisprudenza sviluppatasi sulla base di questa disposizione. In concreto, la Cassa, dopo gli accertamenti effettuati pendente causa che hanno definito che la comproprietà del marito era gravata da usufrutto (cfr. doc. _ e gli atti dell'amministrazione), ha stralciato gli elementi di calcolo riferibili alla sostanza immobiliare. Questo TCA dopo attento esame della documentazione agli atti, non ha motivo di discostarsi dalla valutazione della Cassa. 2.12.   In conclusione visto che il reddito complessivo di fr. 71'859-- (cfr. consid. 1.4) è comunque più elevato rispetto al fabbisogno (fr. 60'152.--), il TCA non può che confermare le decisioni impugnate.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