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38.2025.8 vom 17. März 2025</w:t>
      </w:r>
    </w:p>
    <w:p>
      <w:r>
        <w:t>TI Tribunale d'appello, 2025-03-17, IT</w:t>
      </w:r>
    </w:p>
    <w:p>
      <w:r>
        <w:rPr>
          <w:b/>
        </w:rPr>
        <w:t xml:space="preserve">Quelle: </w:t>
      </w:r>
      <w:r>
        <w:t>https://mcp.opencaselaw.ch/entscheid/ti_gerichte_38.2025.8</w:t>
      </w:r>
    </w:p>
    <w:p>
      <w:r>
        <w:t>FR: TI_GERICHTE 38.2025.8 du 17 mars 2025</w:t>
      </w:r>
    </w:p>
    <w:p>
      <w:r>
        <w:t>IT: TI_GERICHTE 38.2025.8 del 17 marzo 2025</w:t>
      </w:r>
    </w:p>
    <w:p>
      <w:pPr>
        <w:pStyle w:val="Heading2"/>
      </w:pPr>
      <w:r>
        <w:t>Erwägungen</w:t>
      </w:r>
    </w:p>
    <w:p>
      <w:r>
        <w:rPr>
          <w:b/>
        </w:rPr>
        <w:t>E. 45</w:t>
      </w:r>
    </w:p>
    <w:p>
      <w:r>
        <w:t>PA fino al 31 dicembre 2006; cfr. STF H 111/06 del 22 novembre 2006 consid. 3.4.). Nei lavori preparatori, infatti, non risulta alcuna indicazione in tal senso. Al contrario il legislatore ha affermato di non voler introdurre alcun cambiamento con l’art. 56 LPGA (cfr. STF H 111/06 del 22 novembre 2006 consid. 3.4.; FF 1991 II 263). Ne discende che in virtù di un principio giuridico generale anche nel caso di decisioni incidentali che ricadono nel campo di applicazione della LPGA deve essere avantutto esaminata la condizione di ammissibilità del danno irreparabile (cfr. STF 9C_548/2010 del 10 agosto 2010 consid. 3.2.; STF H 111/06 del 22 novembre 2006 consid. 3.4.; DTF 132 V 93 consid. 6.1.; STCA 38.2014.7 del 12 febbraio 2014 consid. 2.2.). 2.4.  Secondo la giurisprudenza sviluppata riguardo all’art. 46 PA (art. 45 PA fino al 1° gennaio 2007) per ammettere un danno irreparabile è sufficiente un interesse fattuale, in particolare un mero interesse di natura economica. Non è necessario, come invece nel caso dell’art. 93 cpv. 1 lett. a della Legge sul Tribunale federale (LTF) applicabile alle procedure davanti all’Alta Corte, un interesse esclusivamente giuridico (cfr. STF 8C_792/2018 del 28 novembre 2018; STF 8C_433/2018 del 14 agosto 2018 consid. 4.3.; STF 8C_1010/2012 del 18 dicembre 2012; STF 8C_980/2010 del 16 febbraio 2011 consid. 3.2.; STFA H 111/06 del 22 novembre 2006 consid. 4.1.). La sospensione della causa fino alla definizione di un’altra procedura pendente dal cui esito dipende anche il giudizio della vertenza sospesa, di regola, non crea, dal profilo del ritardo temporale causato, un pregiudizio irreparabile. Questa giurisprudenza sviluppata sotto l’egida della Legge federale sull’organizzazione giudiziaria (OG), abrogata con l’entrata in vigore, il 1° gennaio 2007, della LTF (cfr. art. 131 cpv. 1 LTF), vale anche ai fini dell’applicazione dell’art. 46 PA (cfr. STF 2C_314/2008 del 17 settembre 2008 consid. 3.2.; STF 9C_828/2015 del 3 dicembre 2015; STF H 111/06 del 22 novembre 2006 consid. 4.1.; SVR 1996 IV Nr. 93 pag. 281 ). 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 AHI-Praxis 1999 pag. 140 consid. 2 ). Per completezza giova rilevare che 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 H 111/06 del 22 novembre 2006 consid. 4.2.). 2.5.  Nella presente evenienza la questione di sapere se la decisione incidentale impugnata del 9 gennaio 2025 con cui la Cassa ha sospeso la procedura d’opposizione riguardante la sospensione dal diritto all’indennità di disoccupazione di 45 giorni inflitta all’assicurato il 5 dicembre 2024 a causa di licenziamento per colpa propria (cfr. doc. 13; B; consid. 1.1.; 1.3.) fino alla decisione definitiva in merito alla vertenza civile attinente alla disdetta del contratto di lavoro con effetto immediato sia suscettibile o meno di causare al ricorrente un danno irreparabile (peraltro non specificatamente fatto valere dallo stesso, il quale nemmeno sostiene che il proprio sostentamento sarebbe minacciato dal mancato pagamento delle indennità di disoccupazione oggetto della sanzione di sospensione o che a causa di ciò non potrebbe far fronte a impegni finanziari correnti; cfr. STFA H 111/06 del 22 novembre 2006 consid. 4.3.) non necessita di ulteriori approfondimenti. In effetti, anche ammettendo l’esistenza di un pregiudizio irreparabile e quindi che il ricorso sia ricevibile, lo stesso deve essere respinto nel merito. Per costante giurisprudenza federale la sospensione della procedura davanti al giudice delle assicurazioni sociali osta al principio di celerità dedotto dall'art. 29 cpv. 1 Cost. fed. ed è ammessa solo eccezionalmente, in particolare se si tratta di attendere il giudizio di un'altra autorità che permetterebbe di statuire su una questione decisiva. Il giudice adito dispone ad ogni modo di un certo margine di apprezzamento nel ponderare gli interessi delle parti, fermo restando però che nei casi limite l'esigenza di celerità prevale sugli altri interessi (cfr. STF 9C_640/2021 del 15 giugno 2022 consid. 3.2.; STF 9C_799/2018 del 21 febbraio 2019 consid. 2; STF 9C_293/2014 del 16 ottobre 2014 consid. 2.2.2.; STF 9C_679/2009 del 3 maggio 2010; STF U 286/05 del 31 gennaio 2007; DTF 130 V 90; DTF 119 II 386 consid. 1b pag. 388; RSAS 2007 pag. 73 consid. 4.1 [B 143/05]). La sospensione di una procedura risulta conforme al diritto quando è giustificata dal fatto che l’esito di un’altra causa pendente riveste per la stessa un significato pregiudizialmente essenziale (cfr. STF 9C_715/2019 del 30 gennaio 2020; STF 8C_101/2007 del 17 agosto 2007 consid. 2.1.; STF I 922/05 del 1 agosto 2006 consid. 1.3.; STF B 5/05 del 17 luglio 2006 consid. 3.2.; DTF 123 II 3; DTF 122 II 217). Nel caso di specie tra la procedura pendente presso la Pretura di __________ relativa alla contestazione della disdetta con effetto immediato a decorrere dal 10 settembre 2024 (cfr. doc. 9) e la lite pendente presso la Cassa concernente la sospensione dal diritto all’indennità di disoccupazione di 45 giorni ex art. 30 cpv. 1 lett. a LADI perché l’assicurato avrebbe causato il proprio licenziamento sono strettamente connesse. Se, infatti, la vertenza concernente il diritto del lavoro dovesse stabilire definitivamente che le ragioni che hanno condotto alla disdetta del contratto di impiego non erano attribuibili all’insorgente, la sanzione inflittagli dalla Cassa potrebbe essere annullata. Al riguardo va osservato che con decreto 38.2018.57 del 15 maggio 2019 il TCA ha stralciato dai ruoli il ricorso di un’assicurata che era stata sospesa dal diritto all’indennità di disoccupazione per 20 giorni perché ritenuta colpevole per la perdita del proprio impiego, in quanto la Cassa competente, contestualmente alla risposta di causa, ha annullato la sanzione a seguito della procedura civile contro il datore di lavoro che ha portato a stabilire che i motivi del licenziamento non potevano essere attribuiti a colpa da parte dell'assicurata. È vero che in caso contrario, ossia se dalla causa pendente in Pretura emergesse che il licenziamento è, almeno in parte, stato causato dal comportamento del ricorrente, la penalità ex art. 30 cpv. 1 lett. a LADI dovrebbe verosimilmente essere confermata. Tuttavia il procedimento civile potrà, ad ogni modo, fornire elementi utili e rilevanti per la vertenza in ambito LADI, in particolare per quanto attiene alla commisurazione della sospensione. Di conseguenza una sentenza definitiva in ambito di diritto del lavoro implica in concreto la risoluzione di questioni comunque essenziali per statuire nel settore dell’assicurazione disoccupazione. Stante quanto precede occorre concludere che la procedura di opposizione è stata a giusta ragione sospesa fino all’emanazione della decisione definitiva in merito al procedimento pendente presso la Pretura di Bellinzona (cfr. STF 8C_581/2014 del 16 marzo 2015 consid. 8.2.; STCA 38.2023.62 del 15 gennaio 2024 consid. 2.7.; STCA 38.2021.60 del 20 settembre 2021 consid. 2.4.). La decisione incidentale del 9 gennaio 2025 impugnata deve, pertanto, essere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del TCA concerne la sospensione della procedura d’opposizione riguardante il diniego del diritto a indennità di disoccupazione per mancanza di residenza in Svizzera fino alla decisione definitiva in merito alla vertenza pendente davanti al Tribunale cantonale amministrativo relativa al rifiuto del permesso di domicilio o di dimora UE/AELS (cfr. doc. 10; A1). In casu la questione di sapere se si tratti o meno di una controversia relativa a prestazioni secondo l’art. 61 lett. f bis LPGA può restare insoluta. Qualora si volesse considerare quale lite di prestazioni, non verrebbero accollate spese, in quanto la LADI non ne prevede l’applicazione . Anche nel caso in cui la causa non riguardi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Ne discende che nel presente caso non si riscuotono spese giudiziarie (cfr. STCA 38.2024.38 del 9 settembre 2024 consid. 2.8.; STCA 38.2023.62 del 15 gennaio 2024 consid. 2.8.; STCA 38.2023.36 del 17 luglio 2023 consid. 2.11.; STCA 38.2023.20 del 2 maggio 2023 consid. 2.8.; STCA 38.2022.74 del 22 dicembre 2022 consid. 2.11.; STCA 38.2021.71 del 25 ottobre 2021 consid. 2.8.; STCA 38.2021.60 del 20 settembre 2021 consid.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