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38.2025.72</w:t>
      </w:r>
    </w:p>
    <w:p>
      <w:r>
        <w:t>TI Tribunale d'appello, IT</w:t>
      </w:r>
    </w:p>
    <w:p>
      <w:r>
        <w:rPr>
          <w:b/>
        </w:rPr>
        <w:t xml:space="preserve">Quelle: </w:t>
      </w:r>
      <w:r>
        <w:t>https://mcp.opencaselaw.ch/entscheid/ti_gerichte_38.2025.72</w:t>
      </w:r>
    </w:p>
    <w:p>
      <w:pPr>
        <w:pStyle w:val="Heading2"/>
      </w:pPr>
      <w:r>
        <w:t>Volltext</w:t>
      </w:r>
    </w:p>
    <w:p>
      <w:r>
        <w:t>Raccomandata</w:t>
      </w:r>
    </w:p>
    <w:p>
      <w:r>
        <w:t>Incarto n.38.2025.72</w:t>
      </w:r>
    </w:p>
    <w:p>
      <w:r>
        <w:t>rs</w:t>
      </w:r>
    </w:p>
    <w:p>
      <w:r>
        <w:t>Lugano</w:t>
      </w:r>
    </w:p>
    <w:p>
      <w:r>
        <w:t>30 marzo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24 novembre 2025 di</w:t>
      </w:r>
    </w:p>
    <w:p>
      <w:r>
        <w:t>RI1,______</w:t>
      </w:r>
    </w:p>
    <w:p>
      <w:r>
        <w:t>contro</w:t>
      </w:r>
    </w:p>
    <w:p>
      <w:r>
        <w:t>la decisione su opposizione del 17 novembre 2025 emanata da</w:t>
      </w:r>
    </w:p>
    <w:p>
      <w:r>
        <w:t>Cassa CO1,______</w:t>
      </w:r>
    </w:p>
    <w:p>
      <w:r>
        <w:t>in materia di assicurazione contro la disoccupazione</w:t>
      </w:r>
    </w:p>
    <w:p>
      <w:r>
        <w:t>ritenutoin fatto</w:t>
      </w:r>
    </w:p>
    <w:p>
      <w:r>
        <w:t>consideratoin diritto</w:t>
      </w:r>
    </w:p>
    <w:p>
      <w:r>
        <w:t>Sulla portata delle direttive amministrative, cfr. STF 8C_166/2025 del 19 gennaio 2026 consid. 2.4.; STF 8C_224/2024 del 2 settembre 2025 consid. 2.4.;DTF151 V 137 consid. 4.3.; STF 9C_230/2024 del 21 gennaio 2025 consid. 4.1.; STF 8C_425/2023 del 21 maggio 2024 consid. 4.3.;STF 8C_228/2023 del 6 ottobre 2023 consid. 3.2.;STF 8C_141/2023 del 2 maggio 2023 consid. 4.1.; STF 8C_322/2022 del 30 gennaio 2023 consid. 4.3.1.; STF 8C_73/2022 del 26 gennaio 2023 consid. 4.3.2.-4.3.3.; STF 8C_769/2021 del 3 maggio 2022 consid. 3.3.;DTF 148 V 144 consid. 3.1.3.;DTF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In una STF 8C_370/2014 dell11 giugno 2015 lAlta Corte ha rilevato cheSous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consid.4; arrêt C 282/00 du 11 janvier 2001 consid. 2b).</w:t>
      </w:r>
    </w:p>
    <w:p>
      <w:r>
        <w:t>2.8.  In concreto è incontestato che lassicurato ha ricevuto da parte dellex datore di lavoro la lettera di avvertimento del 24 aprile 2024 dalla quale risulta, in buona sostanza, che unulteriore condotta inaccettabile nei dodici mesi seguenti (al medesimo era stato imputato di avere fornito i documenti non nei tempi previsti, bensì con notevole ritardo, di avere tentato di nascondere informazioni rilevanti e critiche, di avere utilizzato la carta di credito aziendale per spese di natura aziendale/personale e di avere chiesto ad alcuni colleghi, fra cui un suo diretto subordinato, un prestito di denaro), avrebbe potuto portare a ulteriori provvedimenti disciplinari, incluso il licenziamento (cfr. doc. 5; consid. 1.1.).</w:t>
      </w:r>
    </w:p>
    <w:p>
      <w:r>
        <w:t>2.10.  In simili condizioni, tutto ben ponderato e ritenuto che secondo la costante giurisprudenza federale la colpa del lavoratore riguardo alla perdita del posto di lavoro deve essere nettamente stabilita (cfr. consid. 2.3.; 2.4.; 2.7.), questa Corte ritiene che le carte processuali non consentano di stabilire selinsorgente abbia oppure no perso colpevolmente il proprio impiegopresso______(sul tema STCA 38.2024.2 del 6 maggio 2024; STCA 38.2023.3 del 3 aprile 2023; STCA 38.2022.101 del 6 febbraio 2023; STCA 38.2021.93 del 14 marzo 2022; STCA 38.2020.62 del 18 gennaio 2021).</w:t>
      </w:r>
    </w:p>
    <w:p>
      <w:r>
        <w:t>In concreto si giustifica, di conseguenza, lannullamento della decisione su opposizione del 17 novembre 2025 e il rinvio degli atti alla Cassa per procedere a un complemento istruttorio al fine di determinare se la disoccupazione sia o meno imputabile al ricorrente.</w:t>
      </w:r>
    </w:p>
    <w:p>
      <w:r>
        <w:t>2.11.Lart.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38.2025.54 del 19 gennaio 2026 consid. 2.10.; STCA 38.2025.47 del 1° dicembre 2025 consid. 2.14.; STCA 38.2024.57 del 10 marzo 2025 consid. 2.14.; STCA 38.2024.55 del 24 febbraio 2025 consid. 2.10.; STCA 38.2024.42 del 9 dicembre 2024 consid. 2.10.; STCA 38.2024.39 del 21 ottobre 2024 consid. 2.15.; STCA 38.2024.2 del 6 maggio 2024 consid. 2.10.; STCA 38.2023.15 del 30 maggio 2023 consid. 2.7.).</w:t>
      </w:r>
    </w:p>
    <w:p>
      <w:r>
        <w:t>Sul tema cfr. anche STF 9C_65/2025 del 29 gennaio 2026, destinata alla pubblicazione nella Raccolta ufficiale;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 Gli atti sono rinviati alla CO1 perché proceda come indicato al consid. 2.10.</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