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38.2025.65</w:t>
      </w:r>
    </w:p>
    <w:p>
      <w:r>
        <w:t>TI Tribunale d'appello, IT</w:t>
      </w:r>
    </w:p>
    <w:p>
      <w:r>
        <w:rPr>
          <w:b/>
        </w:rPr>
        <w:t xml:space="preserve">Quelle: </w:t>
      </w:r>
      <w:r>
        <w:t>https://mcp.opencaselaw.ch/entscheid/ti_gerichte_38.2025.65</w:t>
      </w:r>
    </w:p>
    <w:p>
      <w:pPr>
        <w:pStyle w:val="Heading2"/>
      </w:pPr>
      <w:r>
        <w:t>Volltext</w:t>
      </w:r>
    </w:p>
    <w:p>
      <w:r>
        <w:t>Raccomandata</w:t>
      </w:r>
    </w:p>
    <w:p>
      <w:r>
        <w:t>Incarto n.38.2025.65</w:t>
      </w:r>
    </w:p>
    <w:p>
      <w:r>
        <w:t>CL/gm</w:t>
      </w:r>
    </w:p>
    <w:p>
      <w:r>
        <w:t>Lugano</w:t>
      </w:r>
    </w:p>
    <w:p>
      <w:r>
        <w:t>9 marzo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23 ottobre 2025 di</w:t>
      </w:r>
    </w:p>
    <w:p>
      <w:r>
        <w:t>RI1,______</w:t>
      </w:r>
    </w:p>
    <w:p>
      <w:r>
        <w:t>contro</w:t>
      </w:r>
    </w:p>
    <w:p>
      <w:r>
        <w:t>la decisione su opposizione del 29 settembre 2025 emanata da</w:t>
      </w:r>
    </w:p>
    <w:p>
      <w:r>
        <w:t>Cassa CO1,______</w:t>
      </w:r>
    </w:p>
    <w:p>
      <w:r>
        <w:t>in materia di assicurazione contro la disoccupazione</w:t>
      </w:r>
    </w:p>
    <w:p>
      <w:r>
        <w:t>ritenutoin fatto</w:t>
      </w:r>
    </w:p>
    <w:p>
      <w:r>
        <w:t>consideratoin diritto</w:t>
      </w:r>
    </w:p>
    <w:p>
      <w:r>
        <w:t>In una sentenza 8C_205/2019 del 5 agosto 2019 il Tribunale federale ha confermato che un assicurato aveva violato lobbligo di ridurre il danno, argomentando: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ad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Tribunale federale,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Per quanto concerne le decisioni di questo Tribunale, giova rilevare che con STCA 38.2020.55 del 21 dicembre 2020, il TCA si è pronunciato sul caso di unassicurata che aveva lavorato da ottobre 2018 a luglio 2019, senza mai vedersi pagare integralmente il salario. Già durante il rapporto di lavoro, la medesima si era rivolta ad un sindacato che aveva sollecitato il versamento dei salari per iscritto a due riprese, nonché ad un legale che analogamente si era adoperato telefonicamente. Rimaste inevase tali richieste, quellassicurata aveva deciso di dimettersi. Subito dopo la conclusione del rapporto di lavoro, ella aveva fatto spiccare un precetto esecutivo, tre mesi dopo la comminatoria di fallimento ed a giugno 2020 listanza di fallimento.</w:t>
      </w:r>
    </w:p>
    <w:p>
      <w:r>
        <w:t>In quel caso, il TCA ha stabilito quanto segue:</w:t>
      </w:r>
    </w:p>
    <w:p>
      <w:r>
        <w:t>Al riguardo cfr., pure, ad esempio, STCA 38.2024.21 del 30 settembre 2024; STCA 38.2023.38del 13 novembre 2023; STCA 38.2023.15 del 30 maggio 2023; STCA 38.2022.103 del 13 marzo 2023;38.2022.34 dell11 luglio 2022; STCA 38.2022.35 dell11 luglio 2022; STCA 38.2022.39 dell11 luglio 2022 consid. 2.3., il cui ricorso al Tribunale federale è stato ritenuto inammissibile con giudizio8C_540/2022 del 30 settembre 2022.</w:t>
      </w:r>
    </w:p>
    <w:p>
      <w:r>
        <w:t>Sulla portata delle direttive amministrative, cfr. STF 8C_224/2024 del 2 settembre 2025 consid. 2.4.; DTF 151 V 137 consid. 4.3.; STF 9C_230/2024 del 21 gennaio 2025 consid. 4.1.;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38.2025.13 del 26 maggio 2025 consid. 2.10.; STCA 38.2024.49 del 7 gennaio 2025 consid. 2.14., il cui ricorso dellassicurato al TF è stato ritenuto inammissibile con giudizio 8C_91/2025 del 10 marzo 2025; STCA 38.2024.39 del 21 ottobre 2024 consid. 2.15.; STCA 38.2024.40 del 7 ottobre 2024 consid. 2.9.; STCA 38.2024.9 del 25 marzo 2024 consid. 2.14.; STCA 38.2023.11 del 5 giugno 2023 consid. 2.15.; STCA 38.2022.64 del 17 ottobre 2022 consid. 2.12.; STCA 38.2022.52 del 22 agosto 2022 consid. 2.10.; STCA 38.2022.20 del 25 aprile 2022 consid. 2.9.; STCA 38.2021.89 del 7 febbraio 2022 consid. 2.11.).</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