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38.2025.51 vom 1. Dezember 2025</w:t>
      </w:r>
    </w:p>
    <w:p>
      <w:r>
        <w:t>TI Tribunale d'appello, 2025-12-01, IT</w:t>
      </w:r>
    </w:p>
    <w:p>
      <w:r>
        <w:rPr>
          <w:b/>
        </w:rPr>
        <w:t xml:space="preserve">Quelle: </w:t>
      </w:r>
      <w:r>
        <w:t>https://mcp.opencaselaw.ch/entscheid/ti_gerichte_38.2025.51_d20251201</w:t>
      </w:r>
    </w:p>
    <w:p>
      <w:r>
        <w:t>FR: TI_GERICHTE 38.2025.51 du 1 décembre 2025</w:t>
      </w:r>
    </w:p>
    <w:p>
      <w:r>
        <w:t>IT: TI_GERICHTE 38.2025.51 del 1 dicembre 2025</w:t>
      </w:r>
    </w:p>
    <w:p>
      <w:pPr>
        <w:pStyle w:val="Heading2"/>
      </w:pPr>
      <w:r>
        <w:t>Regeste</w:t>
      </w:r>
    </w:p>
    <w:p>
      <w:r>
        <w:t>Rettam.SdL negato BF e quindi condono di parte ILR 3-7/20 chieste a SA in restit., poiché non dt a seguito dell'assenza di sist.di cotrollo giorn. delle h. Rinvio per accert. per parte ILR chieste in restit.a seguito nuovi calcoli c.ca somma tot. h lavoro previste e massa salar. e nuova dec. condono</w:t>
      </w:r>
    </w:p>
    <w:p>
      <w:pPr>
        <w:pStyle w:val="Heading2"/>
      </w:pPr>
      <w:r>
        <w:t>Erwägungen</w:t>
      </w:r>
    </w:p>
    <w:p>
      <w:r>
        <w:rPr>
          <w:b/>
        </w:rPr>
        <w:t>E. 21</w:t>
      </w:r>
    </w:p>
    <w:p>
      <w:r>
        <w:t>luglio 2021 consid. 4.4.3.,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Ne discende che nel presente caso non si riscuotono spese giudiziarie (cfr. STCA 38.2025.6 dell’11 giugno 2025 consid. 2.10.; STCA 38.2025.10 del 19 maggio 2025 consid. 2.15.; STCA 38.2024.27 del 17 giugno 2024 consid. 2.7.; STCA 38.2024.14 del 13 maggio 2024 consid. 2.11.; STCA 38.2023.40-41 del 2 ottobre 2023 consid. 2.15.;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