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38.2025.40</w:t>
      </w:r>
    </w:p>
    <w:p>
      <w:r>
        <w:t>TI Tribunale d'appello, IT</w:t>
      </w:r>
    </w:p>
    <w:p>
      <w:r>
        <w:rPr>
          <w:b/>
        </w:rPr>
        <w:t xml:space="preserve">Quelle: </w:t>
      </w:r>
      <w:r>
        <w:t>https://mcp.opencaselaw.ch/entscheid/ti_gerichte_38.2025.40</w:t>
      </w:r>
    </w:p>
    <w:p>
      <w:pPr>
        <w:pStyle w:val="Heading2"/>
      </w:pPr>
      <w:r>
        <w:t>Volltext</w:t>
      </w:r>
    </w:p>
    <w:p>
      <w:r>
        <w:t>Raccomandata</w:t>
      </w:r>
    </w:p>
    <w:p>
      <w:r>
        <w:t>Incarto n.38.2025.40</w:t>
      </w:r>
    </w:p>
    <w:p>
      <w:r>
        <w:t>CL/gm</w:t>
      </w:r>
    </w:p>
    <w:p>
      <w:r>
        <w:t>Lugano</w:t>
      </w:r>
    </w:p>
    <w:p>
      <w:r>
        <w:t>27 ottobre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26 giugno 2025 di</w:t>
      </w:r>
    </w:p>
    <w:p>
      <w:r>
        <w:t>RI 1</w:t>
      </w:r>
    </w:p>
    <w:p>
      <w:r>
        <w:t>contro</w:t>
      </w:r>
    </w:p>
    <w:p>
      <w:r>
        <w:t>la decisione su opposizione del 27 maggio 2025 emanata da</w:t>
      </w:r>
    </w:p>
    <w:p>
      <w:r>
        <w:t>CO 1</w:t>
      </w:r>
    </w:p>
    <w:p>
      <w:r>
        <w:t>in materia di assicurazione contro la disoccupazione</w:t>
      </w:r>
    </w:p>
    <w:p>
      <w:r>
        <w:t>ritenutoin fatto</w:t>
      </w:r>
    </w:p>
    <w:p>
      <w:r>
        <w:t>consideratoin diritto</w:t>
      </w:r>
    </w:p>
    <w:p>
      <w:r>
        <w:t>In una sentenza 8C_205/2019 del 5 agosto 2019 il Tribunale federale ha confermato che un assicurato aveva violato lobbligo di ridurre il danno, argomentando:</w:t>
      </w:r>
    </w:p>
    <w:p>
      <w:r>
        <w:t>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w:t>
      </w:r>
    </w:p>
    <w:p>
      <w:r>
        <w:t>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w:t>
      </w:r>
    </w:p>
    <w:p>
      <w:r>
        <w:t>In quel caso di specie, relativo ad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Tribunale federale,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w:t>
      </w:r>
    </w:p>
    <w:p>
      <w:r>
        <w:t>Per quanto concerne le decisioni di questo Tribunale, giova rilevare che con STCA 38.2020.55 del 21 dicembre 2020, il TCA si è pronunciato sul caso di unassicurata che aveva lavorato da ottobre 2018 a luglio 2019, senza mai vedersi pagare integralmente il salario. Già durante il rapporto di lavoro, la medesima si era rivolta ad un sindacato che aveva sollecitato il versamento dei salari per iscritto a due riprese, nonché ad un legale che analogamente si era adoperato telefonicamente. Rimaste inevase tali richieste, quellassicurata aveva deciso di dimettersi. Subito dopo la conclusione del rapporto di lavoro, ella aveva fatto spiccare un precetto esecutivo, tre mesi dopo la comminatoria di fallimento ed a giugno 2020 listanza di fallimento.</w:t>
      </w:r>
    </w:p>
    <w:p>
      <w:r>
        <w:t>In quel caso, il TCA ha stabilito quanto segue:</w:t>
      </w:r>
    </w:p>
    <w:p>
      <w:r>
        <w:t>Al riguardo cfr. pure ad esempio STCA 38.2024.21 del 30 settembre 2024; STCA 38.2023.38del 13 novembre 2023; STCA 38.2023.15 del 30 maggio 2023; STCA 38.2022.103 del 13 marzo 2023;38.2022.34 dell11 luglio 2022; STCA 38.2022.35 dell11 luglio 2022; STCA 38.2022.39 dell11 luglio 2022 consid. 2.3., il cui ricorso al Tribunale federale è stato ritenuto inammissibile con giudizio8C_540/2022 del 30 settembre 2022.</w:t>
      </w:r>
    </w:p>
    <w:p>
      <w:r>
        <w:t>Sulla portata delle direttive amministrative, cfr. DTF 151 V 137 consid. 4.3.; STF 9C_230/2024 del 21 gennaio 2025 consid. 4.1.;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Il 19 luglio 2024, il ricorrente ha presentato una prima domanda di indennità per insolvenza, facendo valere i propri crediti salariali relativi agli ultimi quattro mesi del rapporto lavorativo che lo aveva legato alla __________, per un totale che ha quantificato in fr. 21'666.- (cfr. doc. 120-121).</w:t>
      </w:r>
    </w:p>
    <w:p>
      <w:r>
        <w:t>Il 16 settembre 2024, la Cassa ha chiesto via mail alla __________ di tramettere le prove degli sforzi intrapresi a tuteli degli interessi salariali dellassicurato durante e dopo la fine del rapporto di lavoro (lettere di sollecito, precetto, istanza ), oltre ai formulai di domanda di indennità per insolvenza, il modulo complementare, la notifica e la cessione di credito (cfr. doc. 103).</w:t>
      </w:r>
    </w:p>
    <w:p>
      <w:r>
        <w:t>In assenza di un riscontro da parte della rappresentante dellassicurato, la Cassa ha sollecitato la Sagl a provvedere nel senso di quanto richiesto, prima e via mail il 15 novembre 2024 (cfr. doc. 103), poi per iscritto il 30 dicembre successivo (cfr. doc. 102).</w:t>
      </w:r>
    </w:p>
    <w:p>
      <w:r>
        <w:t>Con scritto pervenuto alla Cassa il 13 gennaio 2025, la __________ ha trasmesso allamministrazione quanto segue:</w:t>
      </w:r>
    </w:p>
    <w:p>
      <w:r>
        <w:t>Preso atto di tale ultimo documento, con mail del 13 gennaio 2025, la Cassa ha chiesto all__________ di precisare come è proseguito liter incasso da settembre 2023 al fallimento di giugno 2024 (cfr. doc. 92).</w:t>
      </w:r>
    </w:p>
    <w:p>
      <w:r>
        <w:t>In assenza di riscontri, con decisione del 20 gennaio 2025 (cfr. doc 77-78), la Cassa ha respinto la domanda di indennità per insolvenza di RI 1. Lamministrazione, pronunciandosi sulla domanda di indennità del luglio 2024, ha motivato il proprio provvedimento come segue:</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38.2025.13 del 26 maggio 2025 consid. 2.10.; STCA 38.2024.49 del 7 gennaio 2025 consid. 2.14., il cui ricorso dellassicurato al TF è stato ritenuto inammissibile con giudizio 8C_91/2025 del 10 marzo 2025; STCA 38.2024.39 del 21 ottobre 2024 consid. 2.15.; STCA 38.2024.40 del 7 ottobre 2024 consid. 2.9.; STCA 38.2024.9 del 25 marzo 2024 consid. 2.14.; STCA 38.2023.11 del 5 giugno 2023 consid. 2.15.; STCA 38.2022.64 del 17 ottobre 2022 consid. 2.12.; STCA 38.2022.52 del 22 agosto 2022 consid. 2.10.; STCA 38.2022.20 del 25 aprile 2022 consid. 2.9.; STCA 38.2021.89 del 7 febbraio 2022 consid. 2.11.).</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