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38.2024.40 vom 7. Oktober 2024</w:t>
      </w:r>
    </w:p>
    <w:p>
      <w:r>
        <w:t>TI Tribunale d'appello, 2024-10-07, IT</w:t>
      </w:r>
    </w:p>
    <w:p>
      <w:r>
        <w:rPr>
          <w:b/>
        </w:rPr>
        <w:t xml:space="preserve">Quelle: </w:t>
      </w:r>
      <w:r>
        <w:t>https://mcp.opencaselaw.ch/entscheid/ti_gerichte_38.2024.40</w:t>
      </w:r>
    </w:p>
    <w:p>
      <w:r>
        <w:t>FR: TI_GERICHTE 38.2024.40 du 7 octobre 2024</w:t>
      </w:r>
    </w:p>
    <w:p>
      <w:r>
        <w:t>IT: TI_GERICHTE 38.2024.40 del 7 ottobre 2024</w:t>
      </w:r>
    </w:p>
    <w:p>
      <w:pPr>
        <w:pStyle w:val="Heading2"/>
      </w:pPr>
      <w:r>
        <w:t>Erwägungen</w:t>
      </w:r>
    </w:p>
    <w:p>
      <w:r>
        <w:rPr>
          <w:b/>
        </w:rPr>
        <w:t>E. 26</w:t>
      </w:r>
    </w:p>
    <w:p>
      <w:r>
        <w:t>agosto 2020 consid. 3.2., pubblicata in SVR 2020 ALV Nr. 23 pag. 71; STF 8C_708/2019 del 10 gennaio 2020 consid. 3.2.; STF 8C_209/2018 del 14 novembre 2018 consid. 3.3.; STFA C 106/04 del 12 luglio 2005 consid. 2.1.; STFA C 199/05 del 29 settembre 2005; STFA C 6/05 del 6 marzo 2006 consid. 3.2.). Cfr. pure STF 8C_589/2009 del 28 giugno 2010;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 In simili condizioni, tutto ben considerato, occorre concludere che RI 1, nel mese di aprile 2024, ha ossequiato il proprio dovere di ricercare in modo valido un impiego adeguato e non ha violato l’obbligo di ridurre il danno che la legge le impone (cfr. consid. 2.2.). La medesima non deve, pertanto, essere sospesa dal diritto all’indennità di disoccupazione ex art. 30 cpv. 1 lett. c LADI (cfr. consid. 2.2.). La decisione su opposizione del 28 giugno 2024 deve, di conseguenza, essere annullata (cfr. STF 8C_296/2017 del 7 agosto 2017; STF 8C_928/2014 del 5 maggio 2015).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38.2024.9 del 25 marzo 2024 consid. 2.14.;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