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38.2024.34 vom 19. Juli 2023</w:t>
      </w:r>
    </w:p>
    <w:p>
      <w:r>
        <w:t>TI Tribunale d'appello, 2023-07-19, IT</w:t>
      </w:r>
    </w:p>
    <w:p>
      <w:r>
        <w:rPr>
          <w:b/>
        </w:rPr>
        <w:t xml:space="preserve">Quelle: </w:t>
      </w:r>
      <w:r>
        <w:t>https://mcp.opencaselaw.ch/entscheid/ti_gerichte_38.2024.34_d20230719</w:t>
      </w:r>
    </w:p>
    <w:p>
      <w:r>
        <w:t>FR: TI_GERICHTE 38.2024.34 du 19 juillet 2023</w:t>
      </w:r>
    </w:p>
    <w:p>
      <w:r>
        <w:t>IT: TI_GERICHTE 38.2024.34 del 19 luglio 2023</w:t>
      </w:r>
    </w:p>
    <w:p>
      <w:pPr>
        <w:pStyle w:val="Heading2"/>
      </w:pPr>
      <w:r>
        <w:t>Regeste</w:t>
      </w:r>
    </w:p>
    <w:p>
      <w:r>
        <w:t>Non entrata nel merito domanda di revisione/riconsideraz. (inoltrata perché Sagl avrebbe sbagliato correz. dei conteggi) decisione di parziale restituzione delle ILR (3-5.2020). Cassa non può essere obbligata a riconsiderare decisione. Richiesta revisione andava respinta. Non vi sono fatti nuovi</w:t>
      </w:r>
    </w:p>
    <w:p>
      <w:pPr>
        <w:pStyle w:val="Heading2"/>
      </w:pPr>
      <w:r>
        <w:t>Erwägungen</w:t>
      </w:r>
    </w:p>
    <w:p>
      <w:r>
        <w:rPr>
          <w:b/>
        </w:rPr>
        <w:t>E. 10</w:t>
      </w:r>
    </w:p>
    <w:p>
      <w:r>
        <w:t>anni dalla notificazione della decisione su ricorso (cfr. pure A.Rumo-Jungo, Die Instrumente zur Korrektur der Sozialversicherungsverfügung,inR. Schaffauser/F. Schlauri(Hrsg.), Verfahrensfragen in der Sozialversicherung, San Gallo 1996, pag. 291).</w:t>
      </w:r>
    </w:p>
    <w:p>
      <w:r>
        <w:t>LAlta Corte ha ripreso tale prassi in una sentenza U 325/02 del 24 ottobre 2003, in cui ha confermato la precedente sentenza di questa Corte che aveva respinto il ricorso di un assicurato inoltrato contro una decisione su opposizione di un assicuratore LAINF che, da un lato, aveva ritenuto tardive tre domande di revisione inoltrate dopo dieci anni dall'emissione di una decisione con cui l'Istituto assicuratore aveva dichiarato estinto il proprio obbligo contributivo e, dall'altro lato, aveva considerato che le domande di revisione interposte prima del termine di dieci anni erano state evase con delle decisioni informali le quali, in assenza di una reazione tempestiva da parte dell'assicurato, erano cresciute in giudicato.</w:t>
      </w:r>
    </w:p>
    <w:p>
      <w:r>
        <w:t>I termini appena citati sono stati dichiarati applicabili anche successivamente all'entrata in vigore della LPGA.</w:t>
      </w:r>
    </w:p>
    <w:p>
      <w:r>
        <w:t>Infatti, benché l'art. 53 LPGA non li preveda espressamente, resta determinante quanto stabilito dall'art. 67 cpv. 1 e 2 PA.</w:t>
      </w:r>
    </w:p>
    <w:p>
      <w:r>
        <w:t>Alla PA rinvia, del resto, l'art. 55 cpv. 1 LPGA per quanto concerne le regole particolari di procedura non fissate in modo esaustivo nella LPGA o nelle singole leggi (cfr. STF 8C_756/2012 del 17 luglio 2013 consid. 4.3.; STF 8C_302/2010 del 25 agosto 2010 consid. 4.3.; STF 9C_1011/2008 del 9 marzo 2009; STF U 43/05 del 31 ottobre 2005 consid. 2).</w:t>
      </w:r>
    </w:p>
    <w:p>
      <w:r>
        <w:t>Al riguardo cfr. pure STF 9C_622/2023 del 27 maggio 2024 consid. 3.2.; DTF 143 V 105; STCA 42.2017.11-15 del 10 aprile 2017 consid. 2.6.; STCA 39.2011.4 del 12 dicembre 2011.</w:t>
      </w:r>
    </w:p>
    <w:p>
      <w:r>
        <w:t>Il ricorso contro la decisione emanata dalla Cassa il 17 maggio 2024 (cfr. doc. I; A12), dal profilo di unimplicita richiesta di riconsiderazione dellordine di restituzione, ritenuto ilmanifesto errore commesso dalla società RI 1 nella correzione dei conteggi del 22.03.2023(cfr. doc. I pag. 3), è pertanto irricevibile (cfr. STF 9C_678/2016 del 23 novembre 2016; STF 9C_517/2011 del 12 settembre 2011; STFA C 7/02 del 14 luglio 2003 consid. 2.2., pubblicata in SVR 2004 ALV Nr. 1 pag. 1; STCA 38.2018.30 del 16 maggio 2018 consid. 2.6.; STCA 39.2017 21 del 22 gennaio 2018 consid. 2.8.; STCA 42.2017.11-15 del 10 aprile 2017 consid. 2.7.; STCA 39.2015.10 del 22 ottobre 2015).</w:t>
      </w:r>
    </w:p>
    <w:p>
      <w:r>
        <w:t>Questa Corte evidenzia, innanzitutto, che tale motivazione, ossia la circostanza di non essere in presenza di un fatto nuovo o di un nuovo mezzo di prova, implica la reiezione della domanda (cfr. STF 8F 2/2017 del 4 ottobre 2017; 8C_549/2015 del 28 ottobre 2015), invece della non entrata nel merito decisa dalla Cassa.</w:t>
      </w:r>
    </w:p>
    <w:p>
      <w:r>
        <w:t>In quel caso linsorgente sarebbe anche stata in grado di invocare il fatto in questione senza indugioin via ordinaria, tramite linoltro di unopposizione(cfr. STF H 223/06 del 17 gennaio 2008 consid. 4.2.).</w:t>
      </w:r>
    </w:p>
    <w:p>
      <w:r>
        <w:t>Nel caso di specie, pertanto, non si giustifica la revisione della decisione di restituzione emanata dalla Cassa il 19 luglio 2023.</w:t>
      </w:r>
    </w:p>
    <w:p>
      <w:r>
        <w:t>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8C_739/2023 del 21 maggio 2024 consid. 2.1.; STF 8C_810/2023 del 7 marzo 2024 consid. 2.1.; STF 8C_146/2022 del 23 gennaio 2023 consid. 6.1.; STF 9C_172/2022 del 7 luglio 2022 consid. 3.1.1.; STF 9C_335/2021del 9 febbraio 2022 consid. 3.1.; STF 9C_71/2021 del 20 settembre 2021 consid. 2.1., pubblicata in SVR 2022 AHV Nr. 8 pag. 19; STF 9C_73/2021 del 20 settembre 2021 consid. 3.1.;STF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38.2024.7 del 2 aprile 2024 consid. 2.11.; 38.2020.42 del 25 gennaio 2021 consid. 2.8.; 38.2020.10 del 6 luglio 2020 consid. 2.9.; STCA 38.2018.31 del 12 ottobre 2018 consid. 2.7.; STCA 38.2018.39 del 10 ottobre 2018 consid. 2.8.</w:t>
      </w:r>
    </w:p>
    <w:p>
      <w:r>
        <w:t>Linsorgente, del resto, ha potuto, in ossequio dellart. 29 cpv. 2 Cost. che garantisce il diritto di essere sentito, far valere le proprie argomentazioni per iscritto (cfr. STF 8C_550/2017 del 12 gennaio 2018) davanti, in particolare, a questa Corte che gode di pieno potere desame in fatto e in diritto (cfr. STF 9C_407/2022 del 24 novembre 2022 consid. 3.3.; STF 9C_569/2020 del 4 gennaio 2022 consid. 3.1., STF 8C_127/2019 del 5 agosto 2019 consid. 3.3.).</w:t>
      </w:r>
    </w:p>
    <w:p>
      <w:r>
        <w:t>Al riguardo cfr. STCA 38.2023.64 del 30 gennaio 2024 consid. 2.11.; STCA 39.2022.6. del 24 gennaio 2023 consid. 2.9., il cui ricorso al TF è stato ritenuto inammissibile con giudizio 8C_61/2023 de 22 marzo 2023.</w:t>
      </w:r>
    </w:p>
    <w:p>
      <w:r>
        <w:t>Conformemente,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Loggetto della lite sottoposta allesame di questo Tribunale concerne la fondatezza della richiesta di revisione/riconsiderazione della decisione di restituzione del 19 luglio 2023.</w:t>
      </w:r>
    </w:p>
    <w:p>
      <w:r>
        <w:t>In proposito cfr. anche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