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38.2024.34 vom 16. September 2024</w:t>
      </w:r>
    </w:p>
    <w:p>
      <w:r>
        <w:t>TI Tribunale d'appello, 2024-09-16, IT</w:t>
      </w:r>
    </w:p>
    <w:p>
      <w:r>
        <w:rPr>
          <w:b/>
        </w:rPr>
        <w:t xml:space="preserve">Quelle: </w:t>
      </w:r>
      <w:r>
        <w:t>https://mcp.opencaselaw.ch/entscheid/ti_gerichte_38.2024.34</w:t>
      </w:r>
    </w:p>
    <w:p>
      <w:r>
        <w:t>FR: TI_GERICHTE 38.2024.34 du 16 septembre 2024</w:t>
      </w:r>
    </w:p>
    <w:p>
      <w:r>
        <w:t>IT: TI_GERICHTE 38.2024.34 del 16 settembre 2024</w:t>
      </w:r>
    </w:p>
    <w:p>
      <w:pPr>
        <w:pStyle w:val="Heading2"/>
      </w:pPr>
      <w:r>
        <w:t>Erwägungen</w:t>
      </w:r>
    </w:p>
    <w:p>
      <w:r>
        <w:rPr>
          <w:b/>
        </w:rPr>
        <w:t>E. 10</w:t>
      </w:r>
    </w:p>
    <w:p>
      <w:r>
        <w:t>anni dalla notificazione della decisione su ricorso (cfr. pure A.Rumo-Jungo, Die Instrumente zur Korrektur der Sozialversicherungsverfügung,inR. Schaffauser/F. Schlauri(Hrsg.), Verfahrensfragen in der Sozialversicherung, San Gallo 1996, pag. 291).</w:t>
      </w:r>
    </w:p>
    <w:p>
      <w:r>
        <w:t>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w:t>
      </w:r>
    </w:p>
    <w:p>
      <w:r>
        <w:t>I termini appena citati sono stati dichiarati applicabili anche successivamente all'entrata in vigore della LPGA.</w:t>
      </w:r>
    </w:p>
    <w:p>
      <w:r>
        <w:t>Infatti, benché l'art. 53 LPGA non li preveda espressamente, resta determinante quanto stabilito dall'art. 67 cpv. 1 e 2 PA.</w:t>
      </w:r>
    </w:p>
    <w:p>
      <w:r>
        <w:t>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w:t>
      </w:r>
    </w:p>
    <w:p>
      <w:r>
        <w:t>Al riguardo cfr. pure STF 9C_622/2023 del 27 maggio 2024 consid. 3.2.; DTF 143 V 105; STCA 42.2017.11-15 del 10 aprile 2017 consid. 2.6.; STCA 39.2011.4 del 12 dicembre 2011.</w:t>
      </w:r>
    </w:p>
    <w:p>
      <w:r>
        <w:t>Il ricorso contro la decisione emanata dalla Cassa il 17 maggio 2024 (cfr. doc. I; A12), dal profilo di unimplicita richiesta di riconsiderazione dellordine di restituzione, ritenuto ilmanifesto errore commesso dalla società RI 1 nella correzione dei conteggi del 22.03.2023(cfr. doc. I pag. 3), è pertanto irricevibile (cfr. STF 9C_678/2016 del 23 novembre 2016; STF 9C_517/2011 del 12 settembre 2011; STFA C 7/02 del 14 luglio 2003 consid. 2.2., pubblicata in SVR 2004 ALV Nr. 1 pag. 1; STCA 38.2018.30 del 16 maggio 2018 consid. 2.6.; STCA 39.2017 21 del 22 gennaio 2018 consid. 2.8.; STCA 42.2017.11-15 del 10 aprile 2017 consid. 2.7.; STCA 39.2015.10 del 22 ottobre 2015).</w:t>
      </w:r>
    </w:p>
    <w:p>
      <w:r>
        <w:t>Questa Corte evidenzia, innanzitutto, che tale motivazione, ossia la circostanza di non essere in presenza di un fatto nuovo o di un nuovo mezzo di prova, implica la reiezione della domanda (cfr. STF 8F 2/2017 del 4 ottobre 2017; 8C_549/2015 del 28 ottobre 2015), invece della non entrata nel merito decisa dalla Cassa.</w:t>
      </w:r>
    </w:p>
    <w:p>
      <w:r>
        <w:t>In quel caso linsorgente sarebbe anche stata in grado di invocare il fatto in questione senza indugioin via ordinaria, tramite linoltro di unopposizione(cfr. STF H 223/06 del 17 gennaio 2008 consid. 4.2.).</w:t>
      </w:r>
    </w:p>
    <w:p>
      <w:r>
        <w:t>Nel caso di specie, pertanto, non si giustifica la revisione della decisione di restituzione emanata dalla Cassa il 19 luglio 2023.</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38.2024.7 del 2 aprile 2024 consid. 2.11.; 38.2020.42 del 25 gennaio 2021 consid. 2.8.; 38.2020.10 del 6 luglio 2020 consid. 2.9.; STCA 38.2018.31 del 12 ottobre 2018 consid. 2.7.; STCA 38.2018.39 del 10 ottobre 2018 consid. 2.8.</w:t>
      </w:r>
    </w:p>
    <w:p>
      <w:r>
        <w:t>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w:t>
      </w:r>
    </w:p>
    <w:p>
      <w:r>
        <w:t>Al riguardo cfr.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Loggetto della lite sottoposta allesame di questo Tribunale concerne la fondatezza della richiesta di revisione/riconsiderazione della decisione di restituzione del 19 luglio 2023.</w:t>
      </w:r>
    </w:p>
    <w:p>
      <w:r>
        <w:t>In proposito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