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38.2023.9 vom 2. Mai 2023</w:t>
      </w:r>
    </w:p>
    <w:p>
      <w:r>
        <w:t>TI Tribunale d'appello, 2023-05-02, IT</w:t>
      </w:r>
    </w:p>
    <w:p>
      <w:r>
        <w:rPr>
          <w:b/>
        </w:rPr>
        <w:t xml:space="preserve">Quelle: </w:t>
      </w:r>
      <w:r>
        <w:t>https://mcp.opencaselaw.ch/entscheid/ti_gerichte_38.2023.9</w:t>
      </w:r>
    </w:p>
    <w:p>
      <w:r>
        <w:t>FR: TI_GERICHTE 38.2023.9 du 2 mai 2023</w:t>
      </w:r>
    </w:p>
    <w:p>
      <w:r>
        <w:t>IT: TI_GERICHTE 38.2023.9 del 2 maggio 2023</w:t>
      </w:r>
    </w:p>
    <w:p>
      <w:pPr>
        <w:pStyle w:val="Heading2"/>
      </w:pPr>
      <w:r>
        <w:t>Erwägungen</w:t>
      </w:r>
    </w:p>
    <w:p>
      <w:r>
        <w:rPr>
          <w:b/>
        </w:rPr>
        <w:t>E. 21</w:t>
      </w:r>
    </w:p>
    <w:p>
      <w:r>
        <w:t>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w:t>
      </w:r>
    </w:p>
    <w:p>
      <w:r>
        <w:rPr>
          <w:b/>
        </w:rPr>
        <w:t>E. 31</w:t>
      </w:r>
    </w:p>
    <w:p>
      <w:r>
        <w:t>cpv. 3 lett. c LADI ed occupano una posizione analoga a quella di un datore di lavoro. Soggetti, questi, tra i quali, in concreto, rientrano tanto ___________ (socio e presidente della gerenza), quanto ____________ (socia e gerente; cfr. supra consid. 2.4.). Più precisamente – e ricordato che tanto l’art. 5 della citata ordinanza, quanto l’art. 34 cpv. 1 LADI sono chiari e non si prestano ad interpretazioni quanto al fatto che “ L’indennità per lavoro ridotto ammonta all’80 per cento della perdita di guadagno computabile” - questa Corte rileva che l’attenzione della ricorrente in punto all’ammontare, in percentuale della perdita di guadagno computabile, delle indennità postulate per i due soggetti, dotati di poteri decisionali, è stata attirata anche nei formulari “ Demande et décompte d’indemnité en cas de réduction de l’horaire de travail ” (cfr. supra consid. 2.4.). Ma non solo; il fatto che per i medesimi l’indennità sarebbe stata pari all’80% della perdita di guadagno computabile si evince chiaramente anche dalla comunicazione trasmessa alla società nel maggio 2020, che peraltro invitava la ricorrente a prendere atto di quanto indicato al sito internet www.lavoro.swiss (cfr. supra consid. 2.4.). Al riguardo, il TCA evidenza che accedendo al sito internet www.lavoro.swiss si apre la pagina internet https://www.arbeit.swiss/secoalv/it/home.html, dalla quale, cliccando sulla voce “ indennità per lavoro ridotto ” si arriva al portale https://www.arbeit.swiss/secoalv/it/home/menue/unternehmen/versicherungsleistungen/kurzarbeitsentschaedigung.html. In relazione alle informazioni ivi riportate, giova rammentare quanto stabilito dal TAF con sentenza B-269/2019 del 31 marzo 2020 consid. 3.3.5.: " (…) Per prassi costante, l'opuscolo dell'autorità inferiore dal titolo "Info-Service, Informazione per i datori di lavoro, Indennità per lavoro ridotto" soddisfa l'obbligo di informare di cui all' art. 27 cpv. 1 LPGA (sentenza del TF 8C_375/2006 del 28 settembre 2007 consid. 2.2; sentenze del TAF B-2601/2017 del 22 agosto 2018 consid. 4.2, B-3996/2013 del 27 maggio 2014 consid. 9.4 segg., B-325/2013 del 20 maggio 2014 consid. 6.2 e B-2880/2011 del 24 luglio 2012 consid. 7.3). Detto opuscolo è pubblicato sui rispettivi siti web dell'ente cantonale (www4.ti.ch/dfe/de/sdl/servizi/indennita-per-lavoro-ridotto/), della cassa interessata ([...]), nonché dell'autorità inferiore (www.seco.admin.ch, SECO - Segreteria di Stato dell'economia &gt; Lavoro &gt; Assicurazione contro la disoccupazione &gt; Prestazioni Indennità per lavoro ridotto). (…)”. Di conseguenza, a mente di questa Corte, la mancanza di attenzione da parte della ricorrente, che non ha ripetutamente preso atto delle inequivocabili e ribadite avvertenze indirizzatele, costituisce una grave negligenza, atta ad escluderne la buona fede nella percezione, a torto, di parte delle indennità per lavoro ridotto erogate a suo favore tra aprile e maggio 2020. Sulla censura ricorsuale relativa alle pretese informazioni errate fornite alla ricorrente da __________, questo Tribunale si è, d’altronde, già pronunciato con la sentenza 38.2021.42 del 27 settembre 2021, cresciuta, incontestata, in giudicato (cfr. supra consid. 1.2. ed in particolare il consid. 2.5.1. della STCA 38.2021.42 del 27 settembre 2021). In simili condizioni, a ragione la Sezione del lavoro ha negato l’esistenza del presupposto della buona fede e quindi ha respinto le richieste di condono formulate dalla RI 1. 2.6.  Alla luce delle risultanze di cui sopra, il TCA, non potendo riconoscere la buona fede della ricorrente, prima condizione per ottenere un eventuale condono, deve confermare la decisione su opposizione del 9 gennaio 2023, senza che sia necessario entrare nel merito del secondo requisito di cui all’art. 25 cpv. 1 LPGA (“ gravi difficoltà ”; cfr. supra consid. 2.2.).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e U. Kieser , ATSG-Kommentar, 4a edizione, n. 70 ad art. 61, pag. 1101 e i riferimenti ivi menzionati).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LADI non ne prevede l’applicazione.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(al riguardo cfr. Ares Bernasconi, Actualités du TF, 8C_265/2021 du 21 juillet 2021 - frais judiciaires pour les tribunaux cantonaux des assurances selon la révision de la LPGA du 21 juin 2019, in SZS/RSAS 2/2022 pag. 107) .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