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38.2022.91 vom 22. Mai 2023</w:t>
      </w:r>
    </w:p>
    <w:p>
      <w:r>
        <w:t>TI Tribunale d'appello, 2023-05-22, IT</w:t>
      </w:r>
    </w:p>
    <w:p>
      <w:r>
        <w:rPr>
          <w:b/>
        </w:rPr>
        <w:t xml:space="preserve">Quelle: </w:t>
      </w:r>
      <w:r>
        <w:t>https://mcp.opencaselaw.ch/entscheid/ti_gerichte_38.2022.91</w:t>
      </w:r>
    </w:p>
    <w:p>
      <w:r>
        <w:t>FR: TI_GERICHTE 38.2022.91 du 22 mai 2023</w:t>
      </w:r>
    </w:p>
    <w:p>
      <w:r>
        <w:t>IT: TI_GERICHTE 38.2022.91 del 22 maggio 2023</w:t>
      </w:r>
    </w:p>
    <w:p>
      <w:pPr>
        <w:pStyle w:val="Heading2"/>
      </w:pPr>
      <w:r>
        <w:t>Erwägungen</w:t>
      </w:r>
    </w:p>
    <w:p>
      <w:r>
        <w:rPr>
          <w:b/>
        </w:rPr>
        <w:t>E. 7</w:t>
      </w:r>
    </w:p>
    <w:p>
      <w:r>
        <w:t>mesi di esonero, non ossequia ad ogni modo la condizione necessaria per essere esonerato dall’adempimento del periodo di contribuzione giusta l’art. 14 cpv. 1 lett. a e b LADI, secondo cui un assicurato durante oltre dodici mesi complessivamente non è stato vincolato da un rapporto di lavoro per, in particolare, infortunio, malattia, formazione, riqualificazione professionale (cfr. STCA 38.2015.60 del 27 gennaio 2016 consid. 2.6.; STCA 38.2008.66 del 11 marzo 2009 consid. 2.11.; STCA 38.2006.5 del 15 maggio 2006 consid. 2.11.). È peraltro utile ribadire, ritenuto che la parte ricorrente ha proposto di sommare i mesi in cui l’assicurato ha lavorato a quelli in cui era impegnato con la formazione o era inabile a causa di infortunio (cfr. doc. XVI; XXVI), che non è possibile cumulare periodi di contribuzione con periodi di esonero (cfr. consid. 2.6.). 2.12.  Stante quanto precede occorre concludere che a ragione la Cassa ha negato al ricorrente il diritto a prestazioni LADI a decorrere dal 20 aprile 2022, considerato che il medesimo non ha adempiuto il periodo minimo di contribuzione previsto dall’art. 13 LADI, né può essere liberato dall’obbligo di compierlo sulla base dell’art. 14 cpv. 1 LADI. Per completezza in riferimento al confinamento anti Covid-19 menzionato dall’insorgente (cfr. doc. XI; XVI) si rileva che lo stesso non va considerato di per sé quale periodo di contribuzione, bensì unicamente se l’assicurato era in possesso di un contratto di lavoro. In effetti la Cassa ha ad esempio tenuto conto del lasso di tempo a partire dal 20 aprile 2020 quando egli era alle dipendenze del __________ (cfr. consid. 2.8.). Il confinamento nemmeno può essere trattato quale motivo di esonero, in quanto, in primo luogo, l’art. 14 LADI configura un’eccezione al presupposto dell’adempimento del periodo contributivo per persone che non hanno potuto svolgere un’attività lavorativa precedentemente alla disoccupazione. Perciò le fattispecie enumerate in tale disposto vanno interpretate restrittivamente (cfr. STF 8C_646/2021 del 9 febbraio 2022 consid. 2.2.2.; STF 8C_415/2012 del 21 febbraio 2013 consid. 2.1.-2.2., pubblicata in DLA 2013 N. 6 pag. 171). In secondo luogo, le norme introdotte dalla Legge Covid-19 e dall’Ordinanza Covid-19 assicurazione contro la disoccupazione non contemplano alcuna regolamentazione eccezionale al riguardo. La decisione su opposizione del 25 ottobre 2022 deve, conseguentemente, essere confermata.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2.14.  L’insorgente ha domandato di essere posto al beneficio del gratuito patrocinio in favore dell’avv. RA 1 (cfr. doc. II).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(cfr. STF 8C_63/2014 del 12 maggio 2014; DTF 110 V 360 consid. 1b).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Giova, inoltre, osservare che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2.15.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2.16.  Nel caso di specie dagli atti di causa risulta che il ricorrente è al beneficio dell’assistenza sociale (cfr. doc. V1). In tali circostanze l'indigenza deve essere ammessa. Va poi considerato che l’insorgente non dispone delle necessarie conoscenze giuridiche, per cui l'intervento di un rappresentante legale, in casu l'avv. RA 1, visti anche i non proprio evidenti quesiti posti dalla fattispecie che hanno implicato un intenso scambio di allegati tra le parti, appare giustificato. È vero che la Cassa ha contestato l’ossequio della condizione della necessità del patrocinio da parte di un avvocato (cfr. doc. VI1; XIV). Tuttavia è piuttosto nella procedura amministrativa che si ammette soltanto eccezionalmente l’adempimento di tale presupposto (cfr. STF 9C_90/2022 del 3 febbraio 2023 consid. 5.2.; 9C_577/2019 del 21 gennaio 2020 consid. 7 ). Nella procedura davanti a un Tribunale l’assistenza di un avvocato va ritenuta necessaria o almeno indicata quando in circostanze analoghe e nell’ipotesi in cui l’assicurato non sia indigente il patrocinio di un legale sarebbe ragionevole, tenuto conto del fatto che l’interessato non ha conoscenze giuridiche sufficienti e che l’interesse all’emanazione di un giudizio giustifichi il dispendio. Nella procedura amministrativa il requisito della necessità di un avvocato deve, invece, essere esaminato in base a criteri più severi (cfr. STF 8C_48/2015 del 10 aprile 2015 consid. 2.2., pubblicata in DLA 2015 N. 7 pag. 161; STF I 127/07 del 7 gennaio 2008 consid. 4.2.-4.3.; DTF 103 V 46). Infine le argomentazioni ricorsuali non risultavano palesemente destituite di esito favorevole. Il TCA ritiene, dunque, che in concreto siano soddisfatti i requisiti cumulativi per la concessione del gratuito patrocinio a favore del ricorrente. È riservato l'eventuale obbligo di rimborso, qualora la situazione economica dell'insorgente dovesse più tardi migliorare (cfr. art. 6 LAG; relativamente al gratuito patrocinio nella procedura davanti al TF: cfr. art. 64 cpv. 4 LTF; STF 9C_553/2021 del 21 aprile 2022 consid. 6; STF 9C_735/2019 del 13 maggio 2020 consid. 6; STFA U 234/00 del 23 maggio 2002 consid. 5a, parzialmente pubblicata in DTF 128 V 174; DTF 124 V 301, consid. 6). 2.17.  Il ricorrente, che ha conferito il mandato di rappresentarlo all’avv. RA 1 solamente nel mese di novembre 2022 (cfr. doc. B), non può per contro beneficiare del gratuito patrocinio nella fase preprocessuale, come invece da lui richiesto (cfr. doc. II), non essendo patrocinato da un avvocato. In effetti il gratuito patrocinio, sia in ambito di procedura ricorsuale che amministrativa, può essere riconosciuto soltanto ad avvocato patentato (cfr. STF 8C_78/2019 del 10 aprile 2019; STF 8C_399/2007 del 23 aprile 2008 consid. 9.2.; STFA I 447/04 del 2 marzo 2005 consid. 4.2, citata in DTF 132 V 201 consid. 4.2 e DTF 132 V 200 consid. 5.1.4; STCA 38.2022.67 del 14 dicembre 2022 consid. 2.12.; 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