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 vom 11. Juli 2022</w:t>
      </w:r>
    </w:p>
    <w:p>
      <w:r>
        <w:t>TI Tribunale d'appello, 2022-07-11, IT</w:t>
      </w:r>
    </w:p>
    <w:p>
      <w:r>
        <w:rPr>
          <w:b/>
        </w:rPr>
        <w:t xml:space="preserve">Quelle: </w:t>
      </w:r>
      <w:r>
        <w:t>https://mcp.opencaselaw.ch/entscheid/ti_gerichte_38.2022.8</w:t>
      </w:r>
    </w:p>
    <w:p>
      <w:r>
        <w:t>FR: TI_GERICHTE 38.2022.8 du 11 juillet 2022</w:t>
      </w:r>
    </w:p>
    <w:p>
      <w:r>
        <w:t>IT: TI_GERICHTE 38.2022.8 del 11 luglio 2022</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w:t>
      </w:r>
    </w:p>
    <w:p>
      <w:r>
        <w:t>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2.2.c relativo alle aziende di nuova costituzione:</w:t>
      </w:r>
    </w:p>
    <w:p>
      <w:r>
        <w:t>La Direttiva 2021/07 del 20 aprile 2021, che ha sostituito quella del 19 marzo 2021, non ha apportato modifiche ai p.ti 2.1, 2.2, 2.2 c, 2.3 e 2.5, mentre la Direttiva 2021/13 del 30 giugno 2021, che ha sostituito la Direttiva del 20 aprile 2021, ha adeguato il p.to 2.5in fine:</w:t>
      </w:r>
    </w:p>
    <w:p>
      <w:r>
        <w:t>2.6.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Con giudizio 38.2021.68-70 del 7 febbraio 2022 il TCA, nel caso di una società che gestisce un ristorante, a cui la Sezione del lavoro aveva negato il diritto alle indennità per lavoro ridotto per i periodi 1° novembre - 31 dicembre 2020, 1° gennaio - 28 febbraio 2021 e 1° marzo - 31 maggio 2021, ha poi avallato loperato dellamministrazione e ritenuto che la perdita di lavoro subita dalla ditta non fosse computabile poiché, considerate le circostanze fattuali di quel caso, il modo di procedere dellinsorgente, che a fine ottobre 2020 con effetto dal mese di novembre 2020 ha assunto dei nuovi collaboratori, si poneva in contrasto con lobbligo di riduzione del danno e la perdita di lavoro si rivelava evitabile (art. 32 cpv. 1 lett. a LADI), come pure, visto che lassunzione di personale durante un periodo molto difficile, come quello di una pandemia comporta in sé il pericolo di subire perdite, risultava essere dovuta a circostanze rientranti nel normale rischio aziendale. (cfr. art. 33 cpv. 1 lett. a LADI).</w:t>
      </w:r>
    </w:p>
    <w:p>
      <w:r>
        <w:t>Giusta lart. 6 cpv. 2 e 3:</w:t>
      </w:r>
    </w:p>
    <w:p>
      <w:r>
        <w:t>2.10.   Chiamato ora a pronunciarsi in merito alla fattispecie, il TCA, in relazione alla domanda di indennità per lavoro ridotto inoltrata dalla ricorrente il 23 dicembre 2020 (cfr. doc. 1/1; consid. 1.1.), ricorda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384,Rubin, Commentaire de la loi sur lassurance-chômage.Ed. Schulthess 2014 pag. 345).</w:t>
      </w:r>
    </w:p>
    <w:p>
      <w:r>
        <w:t>Le direttive della SECO (cfr. consid. 2.5.) stabiliscono peraltro chiaramente che sia la pandemia stessa, sia la perdita di lavoro ad essa associata devono essere considerate temporanee.</w:t>
      </w:r>
    </w:p>
    <w:p>
      <w:r>
        <w:t>Lamministrazione, in particolare sentendo gli organi della società ricorrente, che dovrà debitamente comprovare le proprie asserzioni, come pure, se del caso, i dipendenti (anche __________ e __________) di cui si avrà occorrenza, chiarirà le funzioni degli stessi e quali fossero imprescindibili per, al momento opportuno, poter effettuare senza indugio i preparativi, perlomeno iniziali, del __________.</w:t>
      </w:r>
    </w:p>
    <w:p>
      <w:r>
        <w:t>Al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w:t>
      </w:r>
    </w:p>
    <w:p>
      <w:r>
        <w:t>Questo obbligo comprende in particolare quello di motivare le pretese di cui le parti si avvalgono e quello di apportare, nella misura in cui può essere ragionevolmente richiesto da loro, le prove dettate dalla natura della vertenza o dai fatti invocati:in difetto di ciò esse rischiano di dover sopportare le conseguenze dellassenza di prove(cfr.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w:t>
      </w:r>
    </w:p>
    <w:p>
      <w:r>
        <w:t>La Sezione del lavoro, dopo aver esperito le indagini di cui sopra, determinerà nuovamente se linsorgente abbia diritto o meno a indennità per lavoro ridotto a far tempo dal 1° febbraio al 30 aprile 2021 a favore almeno di alcuni dei dipendenti per i quali è stato preannunciato il lavoro ridotto.</w:t>
      </w:r>
    </w:p>
    <w:p>
      <w:r>
        <w:t>Al riguardo giova comunque evidenziare che, conformemente a quanto asserito dalla parte resistente (cfr. doc. A1 pag. 4), il diritto alle ILR va negato per __________, in quanto il suo contratto è iniziato al più presto il 1° maggio 2021 (cfr. doc. 3/18), ossia successivamente al periodo per il quale sono chieste le ILR (dal 1° febbraio al 30 aprile 2021).</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31 gennaio 2022, per cui torna applicabile la disposizione legale valida dal 1° gennaio 2021.</w:t>
      </w:r>
    </w:p>
    <w:p>
      <w:r>
        <w:t>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