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38.2022.74 vom 22. Dezember 2022</w:t>
      </w:r>
    </w:p>
    <w:p>
      <w:r>
        <w:t>TI Tribunale d'appello, 2022-12-22, IT</w:t>
      </w:r>
    </w:p>
    <w:p>
      <w:r>
        <w:rPr>
          <w:b/>
        </w:rPr>
        <w:t xml:space="preserve">Quelle: </w:t>
      </w:r>
      <w:r>
        <w:t>https://mcp.opencaselaw.ch/entscheid/ti_gerichte_38.2022.74</w:t>
      </w:r>
    </w:p>
    <w:p>
      <w:r>
        <w:t>FR: TI_GERICHTE 38.2022.74 du 22 décembre 2022</w:t>
      </w:r>
    </w:p>
    <w:p>
      <w:r>
        <w:t>IT: TI_GERICHTE 38.2022.74 del 22 dicembre 2022</w:t>
      </w:r>
    </w:p>
    <w:p>
      <w:pPr>
        <w:pStyle w:val="Heading2"/>
      </w:pPr>
      <w:r>
        <w:t>Erwägungen</w:t>
      </w:r>
    </w:p>
    <w:p>
      <w:r>
        <w:rPr>
          <w:b/>
        </w:rPr>
        <w:t>E. 14</w:t>
      </w:r>
    </w:p>
    <w:p>
      <w:r>
        <w:t>agosto 2018 consid. 2.4. (cfr. doc. A), la quale, menzionando la STF 2C_1126/2014 del 20 febbraio 2015, aveva precisato che l’esercizio dell’accesso alla casella postale rientra nell’ambito della responsabilità del destinatario, ha indicato che la sentenza cantonale sempre al consid. 2.4. specifica che in un determinato caso il TF aveva stabilito che gli atti erano stati regolarmente notificati con il deposito nella casella postale e che i ricorrenti non avevano neppure fatto valere un accordo con La Posta secondo cui gli atti non dovevano essere depositati nella casella postale, mentre nel suo caso da accordi con La Posta invii senza la dicitura “Casella postale” mai avrebbero dovuto essere depositati nella Casella “specifica” (cfr. doc. I pag. 9). Questa Corte rileva, da un lato, che l’insorgente si riferisce a una sentenza del Tribunale federale differente dalla STF 2C_1126/2014 del 20 febbraio 2015, e meglio alla STF 2C_430/2009 del 14 gennaio 2010, sempre citata nella STCA 36.2018.39 al consid. 2.4. Dall’altro, che nella STF 2C_430/2009 l’opposizione era irricevibile, in quanto tardiva per due giorni. In quel caso di specie, dunque, un eventuale accordo con la posta avrebbe, se del caso, potuto giustificare il ritardo di due giorni. In concreto, invece, il ritardo è di quasi due mesi. Pertanto l’accordo con La Posta in relazione a quali invii recapitare nella Casella postale “specifica”, rispettivamente l’errore di quest’ultima di deposito della decisione del 1° febbraio 2022 non consente in ogni caso un trattamento a favore della ricorrente. Differente avrebbe potuto essere la situazione nell’ipotesi in cui l’inoltro dell’opposizione fosse stato solo di qualche giorno successivo alla scadenza del termine di trenta giorni e connesso al fatto di aver svuotato la Casella una volta sola alla settimana, come indicato dalla Posta quale frequenza minima. 2.6.  In esito a tutto quanto precede, occorre concludere che nel caso di specie determinante per la decorrenza del termine di opposizione di 30 giorni giusta l’art. 52 cpv. 1 LPGA (cfr. consid. 2.1.) è giovedì 3 febbraio 2022, come risulta dal tracciamento dell’invio della decisione del 1° febbraio 2022 (cfr. doc. F1). Il termine per interporre opposizione ha così iniziato a decorrere, in virtù dell’art. 38 cpv. 1 LPGA, il 4 febbraio 2022 ed è scaduto lunedì 7 marzo 2022, essendo l’ultimo giorno del termine un sabato (cfr. art. 38 cpv. 3 LPGA). L’opposizione del 25 aprile 2022 (cfr. doc. E; consid. 1.2.) è, pertanto, tardiva (cfr. STCA 38.2021.72 del 18 ottobre 2021; STCA 38.2021.19 del 31 maggio 2021; STCA 38.2020.58 del 16 novembre 2020; STCA 38.2020.3 del 4 marzo 2020). 2.7.  Va ora esaminato se la ricorrente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2.8. Nella presente evenienza questa Corte ritiene che non siano dati i presupposti per restituire il termine per interporre opposizione contro la decisione del 1° febbraio 2022. In effetti il TCA, analogamente all’amministrazione (cfr. doc. A pag. 6-7), non ravvede alcun valido motivo che renda scusabile l’inoltro tardivo dell’opposizione, in particolare considerando che non è stato invocato alcun impedimento da parte delle persone abilitate ad accedere alla Casella postale presso l’Ufficio postale di __________ (cfr. doc. A; consid. 1.4.) o perlomeno a incaricare terzi a tal fine nel periodo dall’inizio di febbraio all’inizio di marzo 2022. 2.9.  La parte ricorrente ha chiesto l’audizione testimoniale e/o come interrogatorio di parte di __________, socio e gerente con firma individuale della RI 1 (cfr. consid. 2.5.), e di indire un’udienza perché questa Corte possa determinarsi “nel proprio apprezzamento delle prove e delle argomentazioni con sufficiente cognizione circa la natura sincera della parte ricorrente delle proprie argomentazioni e dichiarazioni” (cfr. doc. (cfr. doc. I pag. 16; V).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9C_172/2022 del 7 luglio 2022 consid. 3.1.;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8C_495/2020 del 6 gennaio 2021;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38.2021.7 del 26 aprile 2021 consid. 2.18., confermata dal TF con giudizio 8C_400/2021 del 14 aprile 2022;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Il medesimo ha, quindi, chiesto l’assunzione di nuove prove.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9C_399/2021 del 20 luglio 2022 consid. 4.2.; STF 9C_689/2020 del 1° marzo 2022 consid. 4.2.;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Al riguardo questa Corte, considerato che i documenti già presenti all’incarto consentono al TCA di emanare il proprio giudizio, ritiene che l’assunzione di ulteriori prove non potrebbe mettere in luce nuovi elementi concreti ai fini della risoluzione della vertenza. La domanda di assunzione di prove formulata dall’insorgente, va, dunque, respinta. 2.10.  Alla luce di tutto quanto sopra esposto, la decisione su opposizione del 13 luglio 2022, con la quale la Cassa ha ritenuto l’opposizione del 25 aprile 2022 contro la decisione del 1° febbraio 2022 irricevibile va confermata. Per completezza in merito all’“eccezione di litispendenza e di competenza” sollevata dalla parte ricorrente, in quanto la Cassa si è “costituita accusatrice privata anche in ambito civile, oltre che penale” il 10 dicembre 2021 (cfr. doc. V), il TCA si limita a osservare che al riguardo l’amministrazione, il 7 novembre 2022, ha affermato che la questione non si pone, “dato che con i decreti d’accusa (n.d.r. cfr. doc. III; consid. 1.5.) la Cassa – che ha prontamente informato il Ministero pubblico dell’emanazione della decisione di restituzione ex art. 25 LPGA, risultando la fattispecie chiara e disponendo di tutti gli elementi determinanti per decidere a prescindere dall’esito del procedimento penale – è stata rinviata al foro civile (recte: amministrativo) e non vi è quindi alcun rischio che il credito possa essere preteso due volte (…)” (cfr. doc. VII).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ricevibilità o meno dell’opposizione interposta contro la decisione di restituzione delle indennità per lavoro ridotto del 1° febbraio 2022. In casu la questione di sapere se si tratti o meno di una controversia relativa a prestazioni secondo l’art. 61 lett. f bis LPGA non merita di particolari approfondimenti. Qualora si volesse considerare quale lite di prestazioni, non verrebbero accollate spese, in quanto la LADI non ne prevede l’applicazione. Anche nel caso in cui la causa non riguardi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38.2022.55 del 12 settembre 2022 consid. 2.8.; STCA 38.2022.6 del 25 aprile 2022 consid. 2.10.; STCA 38.2021.60 del 20 settembre 2021 consid. 2.7.; STCA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