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 vom 20. Mai 2020</w:t>
      </w:r>
    </w:p>
    <w:p>
      <w:r>
        <w:t>TI Tribunale d'appello, 2020-05-20, IT</w:t>
      </w:r>
    </w:p>
    <w:p>
      <w:r>
        <w:rPr>
          <w:b/>
        </w:rPr>
        <w:t xml:space="preserve">Quelle: </w:t>
      </w:r>
      <w:r>
        <w:t>https://mcp.opencaselaw.ch/entscheid/ti_gerichte_38.2022.5</w:t>
      </w:r>
    </w:p>
    <w:p>
      <w:r>
        <w:t>FR: TI_GERICHTE 38.2022.5 du 20 mai 2020</w:t>
      </w:r>
    </w:p>
    <w:p>
      <w:r>
        <w:t>IT: TI_GERICHTE 38.2022.5 del 20 maggio 2020</w:t>
      </w:r>
    </w:p>
    <w:p>
      <w:pPr>
        <w:pStyle w:val="Heading2"/>
      </w:pPr>
      <w:r>
        <w:t>Erwägungen</w:t>
      </w:r>
    </w:p>
    <w:p>
      <w:r>
        <w:rPr>
          <w:b/>
        </w:rPr>
        <w:t>E. 2</w:t>
      </w:r>
    </w:p>
    <w:p>
      <w:r>
        <w:t>mit Hinweisen)).</w:t>
      </w:r>
    </w:p>
    <w:p>
      <w:r>
        <w:t>Nella DTF 129 V 110 la nostra Massima Istanza ha dovuto stabilire a quali condizioni ed entro quale termine lamministrazione può liberamente modificare una decisione informale non contestata.</w:t>
      </w:r>
    </w:p>
    <w:p>
      <w:r>
        <w:t>Come risulta dalla massima della sentenza, lAlta Corte, operando un cambiamento di giurisprudenza, ha stabilito che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w:t>
      </w:r>
    </w:p>
    <w:p>
      <w:r>
        <w:t>In proposito cfr. anche STCA 38.2021.77 dell11 aprile 2022 consid. 2.1.; STCA 38.2021.47 del 25 ottobre 2021 consid. 2.1.</w:t>
      </w:r>
    </w:p>
    <w:p>
      <w:r>
        <w:t>Il TCA entrerà, pertanto, nel merito della decisione su opposizione del 16 dicembre 2021 che ha confermato la decisione formale del 4 giugno 2020, negando il diritto alle ILR dal 23 marzo al 31 agosto 2020 (cfr. doc. A16; consid. 1.4.).</w:t>
      </w:r>
    </w:p>
    <w:p>
      <w:r>
        <w:t>2.3.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C29Il disciplinamento del lavoro ridotto fa spesso riferimento alla nozione dazienda:</w:t>
      </w:r>
    </w:p>
    <w:p>
      <w:r>
        <w:t>2.6.   La Prassi LADI ILR si esprime specificatamente riguardo al lavoro ridotto nelle aziende pubbliche e nellamministrazione. Secondo i p.ti D36 segg. validi fino al 31 dicembre 2021 (cfr. consid. 2.7.):</w:t>
      </w:r>
    </w:p>
    <w:p>
      <w:r>
        <w:t>"()</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2.7.   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w:t>
      </w:r>
    </w:p>
    <w:p>
      <w:r>
        <w:t>In questultima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Nella Direttiva 2020/15: Aggiornamento «Disposizioni speciali a causa della pandemia» del 30 ottobre 2020 è stato, altresì, introdotto un nuovo punto 2.6 a relativo al preannuncio di organizzazioni non commerciali:</w:t>
      </w:r>
    </w:p>
    <w:p>
      <w:r>
        <w:t>"In generale, i singoli e quindi le organizzazioni (indipendentemente dalla loro forma giuridica) con cui sono impiegati non hanno diritto a ILR se non vi è una perdita economica e il lavoro ridotto non serve a mantenere i posti di lavoro.</w:t>
      </w:r>
    </w:p>
    <w:p>
      <w:r>
        <w:t>Un'organizzazione, ad esempio un'associazione o una cooperativa il cui scopo è il benessere dei suoi membri e che è finanziata dalle quote associative, non subisce alcuna perdita economica e i posti di lavoro non sono in pericolo. Non vi è quindi alcun diritto a ILR, anche se il lavoro dei dipendenti deve essere temporaneamente sospeso a causa di misure ufficiali.</w:t>
      </w:r>
    </w:p>
    <w:p>
      <w:r>
        <w:t>Tuttavia, un'associazione che fornisce servizi e si finanzia con le tasse che riceve in cambio (ad es. proventi delle vendite, biglietti d'ingresso) può subire perdite economiche a causa di misure ufficiali e i posti di lavoro possono essere messi in pericolo. Pertanto, il diritto allILR può essere soddisfatto se le altre condizioni sono soddisfatte (assenza dal lavoro inevitabile, non può essere evitata con misure economicamente sopportabili, almeno il 10%, temporaneo, tipo di contratto di lavoro).</w:t>
      </w:r>
    </w:p>
    <w:p>
      <w:r>
        <w:t>Nel caso di organizzazioni che rappresentano un misto di questi due casi estremi, ad esempio che cofinanziano il personale dei dipendenti con contratti o mandati più piccoli, occorre procedere ad una ponderazione degli interessi caso per caso.</w:t>
      </w:r>
    </w:p>
    <w:p>
      <w:r>
        <w:t>Caso di studio 1: Un'associazione musicale locale che si esibisce occasionalmente in festival comunitari, ma il cui reddito consiste principalmente in quote associative, donazioni, ecc. non subisce alcuna perdita di lavoro a causa della cancellazione di un festival comunitario, e il lavoro di un amministratore delegato impiegato su piccola scala non è minacciato. In questo caso la richiesta allILR deve essere respinta.</w:t>
      </w:r>
    </w:p>
    <w:p>
      <w:r>
        <w:t>Caso di studio 2: Un'orchestra musicale, organizzata anche come associazione che paga gli stipendi dei musicisti impiegati e di altro personale con il reddito delle sue esibizioni, subisce la perdita di ore lavorative a causa dell'annullamento delle esibizioni e del divieto di prove, e i posti di lavoro sono minacciati. In questo caso, il diritto allILR deve essere accettato se le altre condizioni sono soddisfatte.</w:t>
      </w:r>
    </w:p>
    <w:p>
      <w:r>
        <w:t>()</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 che ha sostituito la Direttiva 2021/01 del 20 gennaio 2021, nella Direttiva 2021/06 del 20 aprile 2021 che ha sostituito quella del 19 marzo 2021 e nella Direttiva 2021/13 del 30 giugno 2021 che ha sostituito la Direttiva del 20 aprile 2021.</w:t>
      </w:r>
    </w:p>
    <w:p>
      <w:r>
        <w:t>Nella Direttiva 2021/16 Aggiornamento «Disposizioni speciali a causa della pandemia» del 1° ottobre 2021 che sostituisce la Direttiva 2021/13 del 30 giugno 2021 (cfr. https://www.arbeit.swiss/secoalv/it/home/service/publikationen/kreisschreiben---avig-praxis.html) al posto del punto 2.6 a è stato inserito il rinvio:</w:t>
      </w:r>
    </w:p>
    <w:p>
      <w:r>
        <w:t>"ÞVedi Direttiva 2021/14 Prassi LADI ILR D38 nuovo</w:t>
      </w:r>
    </w:p>
    <w:p>
      <w:r>
        <w:t>Questultimo punto della Prassi LADI ha integralmente ripreso il contenuto del punto 2.6 a appena riprodotto.</w:t>
      </w:r>
    </w:p>
    <w:p>
      <w:r>
        <w:t>2.8.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conisd. 3.3.;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Questo Tribunale, dal canto suo,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w:t>
      </w:r>
    </w:p>
    <w:p>
      <w:r>
        <w:t>È invece stata lasciata aperta la questione di sapere se il diritto allindennità doveva essere negato anche perché eventuali deficit dellazienda sarebbero stati comunque coperti attraverso fondi pubblici (cfr.D. Cattaneo, COVID-19: les premiers arrêts du Tribunal des assurances du canton du Tessin, in: Assurances sociales et pandémie de Covid-19 a cura di Sylvie Pétremand, Ed. Stämpfli, 2021, pag. 181 - 209 (193)).</w:t>
      </w:r>
    </w:p>
    <w:p>
      <w:r>
        <w:t>La medesima soluzione è stata adottata da questa Corte in due sentenze 38.2021.31 e 38.2021.37 del 30 agosto 2021 relative ad unaltra corporazione di diritto pubblico.</w:t>
      </w:r>
    </w:p>
    <w:p>
      <w:r>
        <w:t>Il TCA è arrivato alla stessa conclusione in una sentenza 38.2021.9 del 18 maggio 2021, pure cresciuta incontestata in giudicato, a proposito di una società che non era unazienda privata nel vero senso del termine.</w:t>
      </w:r>
    </w:p>
    <w:p>
      <w:r>
        <w:t>Per lunico dipendente non esisteva un effettivo rischio di licenziamento a breve termine e la perdita di lavoro faceva comunque parte del normale rischio aziendale.</w:t>
      </w:r>
    </w:p>
    <w:p>
      <w:r>
        <w:t>2.10.   Questa Corte ritiene, altresì, utile rilevare che il Consiglio federale, fondandosi segnatamente sugli art. 185 cpv. 3 Cost, 6 e 7 LEp, ha emanato una serie di ordinanze riguardanti provvedimenti per combattere il coronavirus.</w:t>
      </w:r>
    </w:p>
    <w:p>
      <w:r>
        <w:t>2.12.   In relazione alla domanda di indennità per lavoro ridotto inoltrata dalla Fondazione ricorrente per le dipendenti della __________, il TCA ricorda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384,B. Rubin, Commentaire de la loi sur lassurance-chômage.Ed. Schulthess 2014 pag. 345).</w:t>
      </w:r>
    </w:p>
    <w:p>
      <w:r>
        <w:t>Le direttive della SECO (cfr. consid. 2.7.) stabiliscono peraltro chiaramente chesia la pandemia stessa, sia la perdita di lavoro ad essa associata devono essere considerate temporanee.</w:t>
      </w:r>
    </w:p>
    <w:p>
      <w:r>
        <w:t>Nel caso di specie non si è confrontati con unazienda privata commerciale nel vero senso del termine (cfr. STCA 38.2021.75 del 29 novembre 2021 consid. 2.7.; STCA 38.2021.35 del 4 ottobre 2021 consid. 2.7.; STCA 38.2021.64 dell8 novembre 2021 consid. 2.8.).</w:t>
      </w:r>
    </w:p>
    <w:p>
      <w:r>
        <w:t>I lavoratori delle organizzazioni non commerciali, quali le fondazioni,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2.7.; 2.9.).</w:t>
      </w:r>
    </w:p>
    <w:p>
      <w:r>
        <w:t>La giurisprudenza federale ha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362;STF 8C_474/2021 del 19 ottobre 2021 consid. 5.5.).</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w:t>
      </w:r>
    </w:p>
    <w:p>
      <w:r>
        <w:t>"Lo scopo principale dell'ILR è salvaguardare i posti di lavoro, ovvero evitare i licenziamenti a breve termine in caso di calo temporaneo della domanda di beni e servizi e di conseguenti perdite di lavoro.</w:t>
      </w:r>
    </w:p>
    <w:p>
      <w:r>
        <w:t>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w:t>
      </w:r>
    </w:p>
    <w:p>
      <w:r>
        <w:t>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w:t>
      </w:r>
    </w:p>
    <w:p>
      <w:r>
        <w:t>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w:t>
      </w:r>
    </w:p>
    <w:p>
      <w:r>
        <w:t>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w:t>
      </w:r>
    </w:p>
    <w:p>
      <w:r>
        <w:t>In relazione al lavoro su chiamata, per completezza, è utile evidenziare - benché la questione sia di competenza della Cassa di disoccupazione (cfr. art. 39 cpv. 1 LADI: le versioni francese e tedesca menzionano espressamenteche la Cassa verifica ladempimento delle condizioni personali, art. 81 cpv. 1 lett. a LADI; STAF B-40/2018 del 4 ottobre 2019 consid. 5.4.2.2.) - che ai sensi dellart. 31 cpv. 3 lett. a LADI non hanno diritto allindennità per lavoro ridottoi lavoratori, la cui perdita di lavoro non è determinabile o il cui tempo di lavo­ro non è sufficientemente controllabile e giusta lart.33 cpv. 1 lett. b LADI una perdita di lavoro non è computabilese è usuale nel ramo, nella professione o nellazienda oppure se è causata da oscillazioni stagionali del grado doccupazione.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25 gennaio 2022, per cui torna applicabile la disposizione legale valida dal 1° gennaio 2021.</w:t>
      </w:r>
    </w:p>
    <w:p>
      <w:r>
        <w:t>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w:t>
      </w:r>
    </w:p>
    <w:p>
      <w:r>
        <w:t>Sul tema cfr. anche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19</w:t>
      </w:r>
    </w:p>
    <w:p>
      <w:r>
        <w:t>aprile 2020 a seguito di una riduzione degli orari a causa della pandemia da Covid-19. La nostra Massima Istanza ha annullato la sentenza cantonale, la quale, seppur non escludendo un potenziale rischio di fallimento per la società, aveva ritenuto non adempiuto il presupposto dell’esistenza di un rischio concreto e immediato di licenziamento dei dipendenti, in considerazione del termine di disdetta di tre mesi previsto dal contratto collettivo e del fatto che entro un breve lasso di tempo (meno di tre mesi) sarebbe stato ripristinato il completo orario. La causa è stata rinviata al Tribunale cantonale al fine di acclarare l’entità della copertura dei costi d’esercizio da parte dei fondi pubblici, nonché le possibilità di licenziamento della SA e per pronunciarsi nuovamente, dopo un esame complessivo, circa il diritto alle ILR. Questo Tribunale, dal canto suo,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 È invece stata lasciata aperta la questione di sapere se il diritto all’indennità doveva essere negato anche perché eventuali deficit dell’azienda sarebbero stati comunque coperti attraverso fondi pubblici (cfr. D. Cattaneo , “COVID-19: les premiers arrêts du Tribunal des assurances du canton du Tessin”, in: Assurances sociales et pandémie de Covid-19 a cura di Sylvie Pétremand, Ed. Stämpfli, 2021, pag. 181 - 209 (193)). La medesima soluzione è stata adottata da questa Corte in due sentenze 38.2021.31 e 38.2021.37 del 30 agosto 2021 relative ad un’altra corporazione di diritto pubblico. Il TCA è arrivato alla stessa conclusione in una sentenza 38.2021.9 del 18 maggio 2021, pure cresciuta incontestata in giudicato, a proposito di una società che non era un’azienda privata nel vero senso del termine. Per l’unico dipendente non esisteva un effettivo rischio di licenziamento a breve termine e la perdita di lavoro faceva comunque parte del normale rischio aziendale. Con sentenza 38.2021.35 del 4 ottobre 2021 questo Tribunale ha stabilito che a ragione la Sezione del lavoro non aveva riconosciuto a un'associazione sportiva il diritto a indennità per lavoro ridotto per i suoi dipendenti nel periodo agosto - dicembre 2020. In effetti, ritenuto che gli allenamenti per i ragazzi di meno di 16 anni non sono mai stati soppressi e la ristorazione è stata chiusa dal 22 dicembre 2020, per i dipendenti non vi era il rischio di licenziamento a breve termine. Il TCA, nel giudizio 38.2021.75 del 29 novembre 2021, ha confermato il modo di procedere dell’amministrazione che aveva negato il diritto a ILR ad un’associazione ex art. 60 CC attiva nell’ambito della prevenzione e sensibilizzazione e non considerata un’azienda privata commerciale nel vero senso della parola. Per l'unico dipendente al 50% della ricorrente - che beneficiava, a prescindere dai finanziamenti mirati al sostegno di specifici progetti, di tasse sociali e contributi, non vi era un rischio effettivo e immediato di licenziamento. Con sentenza 38.2021.58 del 13 dicembre 2021, questa Corte, nel caso di una società attiva nel trasporto di viaggiatori in base ad una concessione del Dipartimento federale dell’ambiente dei trasporti dell’energia e delle comunicazioni (DATEC), che svolgeva un servizio pubblico e che era detenuta, per la maggioranza, da Enti pubblici, ha ritenuto che i dipendenti della stessa non correvano un rischio concreto di perdere il loro impiego a breve termine. Ciò tenuto conto dei normali periodi di disdetta fissati nel Contratto collettivo di lavoro. Al riguardo cfr. anche STCA 38.2021.90 del 21 febbraio 2022. Con giudizio 38.2021.91 del 30 maggio 2022 il TCA ha stabilito che a ragione la Sezione del lavoro, accogliendo l’opposizione interposta dalla SECO, aveva negato a una fondazione ex art. 80 segg. CC che, quale fornitrice di servizi pubblici (segnatamente progetti destinati alle scuole, collaborazione con la Polizia), andava assimilata a un datore di lavoro di diritto pubblico il diritto alle ILR dal 26 marzo al 31 agosto 2020. Questo Tribunale ha precisato che la questione relativa al rischio effettivo e immediato di licenziamento delle dipendenti non meritava di particolari approfondimenti, visto che l’esistenza della ricorrente, già a prescindere da un lascito di fr. 240'000 di cui ha beneficiato nell’agosto 2020, non era minacciata. Riguardo alla perdita risultante dal conto economico luglio 2019 - giugno 2020 è stato peraltro precisato, da un lato, che anche precedentemente alla pandemia la società aveva presentato delle perdite, ma che, nonostante ciò, lo svolgimento delle attività era sempre continuato. Dall’altro, che la fondazione si finanziava, oltre che parzialmente con i ricavi ottenuti dalle attività nelle scuole pubbliche e private nella misura del 30%, grazie ai contributi del Cantone, di Comuni, di altre istituzioni, fondazioni, aziende e privati. Anche il Tribunale delle assicurazioni del Canton Ginevra, in una sentenza ATAS 1121/2020 del 19 novembre 2020, applicando la DTF 121 V 362 al caso della Fondation des Parkings de Genève (“ entreprise de droit public ”), ha concluso che per i dipendenti non esisteva un rischio concreto di licenziamento a breve termine e ha lasciato aperta la questione relativa al rischio di chiusura dell’azienda (cfr. Sarah Braunschmidt Scheidegger e Christian Dandres , “l’indemnité pour réduction de l’horaire de travail à l’épreuve du COVID-19 pag. 147 seg. (175-177). La Corte delle assicurazioni sociali del Cantone Vallese, con giudizio S1 20 208 del 9 marzo 2021, pubblicato in RVJ / ZWR 2022 pag. 112, ha confermato il diniego del diritto a ILR dal 16 marzo al 30 aprile 2020 a un’associazione di diritto privato che si occupa di accogliere di giorno bambini in età prescolare, evidenziando, da un lato, che l’associazione, che forniva delle prestazioni sulla base di un accordo concluso con l’ente pubblico, doveva essere assimilata a un datore di lavoro di diritto pubblico ai sensi del p.to D37 della Prassi LADI ILR. Dall’altro, che una convenzione conclusa con il Comune prevede una sovvenzione legata al risultato della struttura che copre il saldo dei costi salariali e delle spese di funzionamento e d’infrastruttura. 2.10.   Questa Corte ritiene, altresì, utile rilevare che il Consiglio federale, fondandosi segnatamente sugli art. 185 cpv. 3 Cost, 6 e 7 LEp, ha emanato una serie di ordinanze riguardanti provvedimenti per combattere il coronavirus. Il 13 marzo 2020 il Consiglio federale ha emesso l’Ordinanza 2 sui provvedimenti per combattere il coronavirus (Ordinanza 2 Covid-19; RU 2020 773) con la quale ha adottato delle misure per ridurre il rischio di trasmissione e per combattere il coronavirus (COVID-19). I provvedimenti erano in particolare finalizzati a impedire o contenere la diffusione del coronavirus, a ridurre la frequenza delle trasmissioni e a proteggere le persone particolarmente a rischi (cfr. art. 1). Il Consiglio di Stato del Cantone Ticino, dal canto suo, dopo aver decretato lo stato di necessità l’11 marzo 2020 e aver ordinato la chiusura, oltre che di tutti i luoghi d'aggregazione come cinema, teatri, musei, palestre, impianti di risalita, delle scuole postobbligatorie (cfr. Risoluzione n. 1262; https://www.rsi.ch/news/svizzera/Virus-stato-di-necessit%C3%A0-in-Ticino-12830161.html), il 13 marzo 2020, dopo consultazione con le autorità federali, cantonali, lo Stato Maggiore Cantonale di Condotta, il Medico cantonale, ha deciso la chiusura delle scuole dell'obbligo da lunedì 16 marzo 2020 (cfr. https://www4.ti.ch/area-media/comunicati/dettaglio-comunicato/?NEWS_ID=187449&amp;cHash=4f5354312e8016d4c62a84d156700432). Ai sensi dell’art. 5 cpv. 1 dell’Ordinanza 2 Covid-19, entrato in vigore il 16 marzo 2020 (cfr. art. 12): " 1 Le attività presenziali in scuole, scuole universitarie e altri centri di formazione sono vietate. (…)” Il 15 aprile 2020 il Consiglio di Stato ha confermato la chiusura delle scuole pubbliche e private di ogni ordine e grado da lunedì 20 aprile a domenica 10 maggio 2020, indicando che “ durante il periodo di chiusura le scuole pubbliche comunali e cantonali continuano la loro attività anche in maniera ristretta o parziale in base a metodologie d'insegnamento che non implicano la frequenza personale da parte degli allievi sulla base delle prescrizioni emanate dal Dipartimento dell'educazione, della cultura e dello sport (DECS), sentiti i collegi dei direttori” (cfr. Risoluzione n. 1846). Il 29 aprile 2020 l’art. 5 dell’Ordinanza 2 COVID-19 è stato modificato con validità dall’11 maggio 2020 (RU 2020 1401). I cpv. 1 e 2 enunciano: " 1 L’insegnamento presenziale nella scuola dell’obbligo è consentito se è attuato un piano di protezione secondo il capoverso 2; i Cantoni decidono sullo svolgimento dell’insegnamento presenziale. Se non si svolge alcun insegnamento presenziale, i Cantoni mettono a disposizione un’offerta adeguata di servizi di custodia parascolastica. 2 L’UFSP definisce, in collaborazione con la Conferenza svizzera dei direttori cantonali della pubblica educazione, i provvedimenti con i quali ridurre al minimo il rischio di trasmissione per bambini e adolescenti, nonché per le persone che svolgono attività nella scuola. I Cantoni garantiscono che le corrispondenti prescrizioni siano attuate nel quadro di piani di protezione nelle scuole e nelle relative offerte di custodia parascolastica. (…)” Nel Cantone Ticino le scuole dell’obbligo hanno riaperto lunedì 11 maggio 2020, le scuole elementari a frequenza parziale nel tempo e ridotta nel numero di allievi, le scuole medie in modo frazionato con presenza parziale delle classi in sede per al mino un giorno (o due mezze giornate). Per il resto del tempo l’insegnamento è continuato a distanza (cfr. DECS, Direttive per la riapertura delle scuole dell’obbligo nell’anno scolastico 2019/2020 del 30 aprile 2020, n. 73). Dal 6 giugno al 5 luglio 2020 l’art. 5 cpv. 1, 2 e 4 dell’Ordinanza 2 COVID-19 (cfr. RU 2020 1815) prevede: " 1 L’insegnamento presenziale nella scuola dell’obbligo, nelle scuole del livello secondario II e del livello terziario e in altri centri di formazione è consentito se è attuato un piano di protezione secondo i capoversi 4–6. 2 I Cantoni decidono sullo svolgimento dell’insegnamento presenziale nella scuola dell’obbligo, nelle scuole del livello secondario II e nelle scuole cantonali del livello terziario. (…). 4 L’UFSP definisce per la scuola dell’obbligo, le scuole del livello secondario II e le scuole cantonali del livello terziario, dopo aver sentito la Conferenza svizzera dei direttori cantonali della pubblica educazione, e per il settore universitario, la Conferenza dei rettori delle scuole universitarie (swissuniversities), i provvedimenti con i quali ridurre al minimo il rischio di trasmissione per gli allievi e gli studenti, nonché per le persone che svolgono attività nella scuola. I Cantoni garantiscono che le corrispondenti prescrizioni siano attuate nel quadro di piani di protezione nelle scuole e nelle relative offerte di custodia parascolastica. (…)” Con effetto dal 6 giugno 2020 l’art. 10b cpv. 1 è stato abrogato (cfr. RU 2020 1820). Dal Piano sull’apertura delle scuole al 31 agosto 2020 emesso dal DECS, pag. 3, risulta che “l'anno scolastico 2020/2021 ha lo statuto di un anno scolastico ordinario” e che “l'insegnamento si svolge in linea di principio a piena capacità” (cfr. https://www4.ti.ch/fileadmin/DECS/downloads/Covid-19/anno_2020-2021/Piano_sull_apertura_delle_scuole_al_31_agosto.pdf ). 2.11.   Nella presente evenienza dalle carte processuali si evince che la RI 1 è stata costituita nel giugno 2005 quale fondazione ai sensi degli art. 80 segg. CC (cfr. doc. 6.1.). La medesima persegue il proprio scopo di __________ (cfr. consid. 1.1.) tramite la __________ e __________ (cfr. consid. 1.1.; www.__________). La __________ collabora con tutti gli ordini di scuola (obbligatoria, superiore e professionale), più precisamente con le scuole che soggiornano nella regione di __________, __________, in occasione delle settimane fuori sede con attività nel __________ della Fondazione ed escursioni sul terreno (cfr. doc. 3). Dall’organigramma della Fondazione allegato al Preannuncio di lavoro ridotto del 23 marzo 2020 si evince che direttore della Fondazione ricorrente (comprensiva dell’__________, della __________ e dell’Amministrazione) è __________ che è anche responsabile dell’__________, dove collaborano altre sei persone. Cinque persone risultano, poi, attive esclusivamente per la __________, e meglio __________, responsabile, __________, docente, __________, docente, __________, animatrice e __________, addetta alle pulizie (cfr. allegato a doc. 1). Giusta l’art. 52 cpv. 1 OADI un settore d’esercizio è parificato ad un’azienda se costituisce un’unità organica provvista di personale e di mezzi tecnici propri la quale dipende da una direzione autonoma in seno all’azienda oppure fornisce prestazioni che potrebbero essere fornite ed offerte sul mercato da aziende autonome (cfr. consid. 2.3.). In concreto la __________, per la quale sono state richieste le indennità per lavoro ridotto (cfr. consid. 2.2.), ritenuti in particolare, da una parte, i compiti specifici espletati che ben si distinguono da quelli dell’__________, dall’altra, il fatto che le cinque dipendenti che sono attive unicamente per la __________ e svolgono mansioni caratteristiche di questo ambito, ovvero insegnamento e animazione (è utile sottolineare che l’addetta alle pulizie della __________ non è la stessa persona che si occupa delle pulizie dell’__________; cfr. allegato a doc. 1), può essere qualificata quale settore d’esercizio della RI 1 ai sensi degli art. 32 cpv. 4 LADI e 52 OADI, come pure della Prassi LADI ILR C31 segg. (cfr. consid. 2.3.; 2.5.). La __________ va, dunque, parificata a un’azienda. 2.12.   In relazione alla domanda di indennità per lavoro ridotto inoltrata dalla Fondazione ricorrente per le dipendenti della __________, il TCA ricorda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B. Rubin , “Commentaire de la loi sur l’assurance-chômage”. Ed. Schulthess 2014 pag. 345). Le direttive della SECO (cfr. consid. 2.7.) stabiliscono peraltro chiaramente che “sia la pandemia stessa, sia la perdita di lavoro ad essa associata devono essere considerate temporanee” . Nel caso di specie non si è confrontati con un’azienda privata commerciale nel vero senso del termine (cfr. STCA 38.2021.75 del 29 novembre 2021 consid. 2.7.; STCA 38.2021.35 del 4 ottobre 2021 consid. 2.7.; STCA 38.2021.64 dell’8 novembre 2021 consid. 2.8.). In effetti la __________ della Fondazione ricorrente - la quale è una fondazione ai sensi degli art. 80 segg. CC - è impegnata nella promozione e nella divulgazione delle __________ proponendo attività didattiche per le scuole, corsi extrascolastici, progetti e manifestazioni e formazione per adulti (cfr. https://__________). I lavoratori delle organizzazioni non commerciali, quali le fondazioni,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2.7.; 2.9.). Pertanto le fondazioni, dal profilo del diritto o meno all’indennità per lavoro ridotto, sono assimilabili ai datori di lavoro di diritto pubblico (cfr. consid. 2.7.; 2.9.). La giurisprudenza federale ha stabilito che 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 STF 8C_474/2021 del 19 ottobre 2021 consid. 5.5. ). Il Tribunale federale, nella sentenza 8C_558/2021 del 20 gennaio 2022 menzionata sopra (cfr. consid. 2.9.), ha d’altronde affermato che i presupposti del rischio di licenziamento concreto e immediato dei propri dipendenti e del rischio per la propria esistenza devono essere ossequiati da ogni datore di lavoro, pubblico o privato, che richiede le ILR. Al riguardo Rubin (op.cit., pag. 343) sottolinea che il diritto all’indennità per lavoro ridotto “ est réservé aux employés qui risquent de perdre leur place à brève échéance (ATF 121 V 362 consid. 3b p. 368). N'ont pas droit à indemnité en cas de RHT les employés des services publics dont Ie statut ou les possibilités de mutation au sein de l'administration leur assurent une protection contre un licenciement à brève échéance.” . 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 " Lo scopo principale dell'ILR è salvaguardare i posti di lavoro, ovvero evitare i licenziamenti a breve termine in caso di calo temporaneo della domanda di beni e servizi e di conseguenti perdite di lavoro. 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 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 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 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 2.13.   Dall’esame dei contratti di lavoro delle dipendenti della __________ risulta che __________ è stata assunta quale responsabile al 50% nel marzo 2015 con effetto dal 1° luglio 2015. Il contratto specifica che “per quanto non previsto dal presente contratto valgono le disposizioni del Codice Svizzero delle Obbligazioni” (cfr. doc. 6.7.10). Il 23 dicembre 2019 la Fondazione e __________ hanno concluso un contratto di impiego con inizio il 1° gennaio 2020 per la funzione di collaboratrice scientifica al 40%, con rinvio, per quanto non disposto espressamente, al Codice delle Obbligazioni (cfr. doc. 6.7.6). Dall’organigramma si evince che la medesima svolge il ruolo di docente (cfr. allegato a doc. 1; consid. 2.11.). Le dipendenti __________, docente, __________, animatrice, e __________, addetta alle pulizie sono state assunte con contratto verbale nel settembre 2011, rispettivamente nel gennaio 2012 e nell’ottobre 2017 (cfr. doc. 6.7; allegato a doc. 1). Il rapporto di lavoro tra l’insorgente, da una parte, e __________ e __________, dall’altra, è su chiamata (cfr. doc. 6.7). In relazione al lavoro su chiamata, per completezza, è utile evidenziare - benché la questione sia di competenza della Cassa di disoccupazione (cfr. art. 39 cpv. 1 LADI: le versioni francese e tedesca menzionano espressamente che la Cassa verifica l’adempimento delle condizioni personali , art. 81 cpv. 1 lett. a LADI; STAF B-40/2018 del 4 ottobre 2019 consid. 5.4.2.2.) - che ai sensi dell’art. 31 cpv. 3 lett. a LADI non hanno diritto all’indennità per lavoro ridotto i lavoratori, la cui perdita di lavoro non è determinabile o il cui tempo di lavo­ro non è sufficientemente controllabile e giusta l’art. 33 cpv. 1 lett. b LADI una perdita di lavoro non è computabile se è usuale nel ramo, nella professione o nell’azienda oppure se è causata da oscillazioni stagionali del grado d’occupazione. La Prassi LADI ILR B31 enuncia che fra i lavoratori la cui perdita di lavoro non può essere determinata rientrano in particolare le persone che esercitano un’attività su chiamata, occasionale o ausiliaria, occupate sporadicamente dal datore di lavoro in base al carico di lavoro. Queste persone di norma non possono contare su un numero di ore di lavoro regolare e garantito da un contratto di lavoro. Se in singoli casi la perdita di lavoro può essere computabile anche in questi tipi di rapporto di lavoro, deve essere determinato sulla base dell’analoga applicazione della Prassi LADI ID B96 seg. La Prassi LADI ID B97 prevede che se un lavoratore s’impegna a fornire un lavoro su chiamata per una durata indeterminata e le chiamate cessano o diminuiscono momentaneamente, la perdita di lavoro è computabile se il lavoratore è stato chiamato in modo più o meno costante per un determinato periodo (periodo di riferimento). Le oscillazioni mensili o annuali (per rapporti di lavoro durati almeno due anni) non devono superare il 20%, in più o in meno, della media delle ore di lavoro prestate mensilmente, risp. annualmente durante il periodo di riferimento. In ogni caso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STF 4A_180/2020 del 6 luglio 2020, consid. 4.4. pubblicata in DTF 146 III 194), ha adottato l’Ordinanza sulle misure nel settore dell’assicurazione contro la disoccupazione riguardo al coronavirus (COVID-19). Attraverso una modifica dell’8 aprile 2020, in vigore dal 9 aprile 2020 fino al 31 agosto 2020 (cfr. RU 2020 1201), è stato introdotto l’art. 8f Ordinanza COVID-19 assicurazione contro la disoccupazione, del seguente tenore: " 1 In deroga agli articoli 31 capoverso 3 lettera a e 33 capoverso 1 lettera b LADI, il lavoratore su chiamata il cui grado di occupazione mensile subisce forti oscillazioni (superiori al 20 per cento) ha altresì diritto all’indennità per lavoro ridotto se lavora da oltre sei mesi nell’azienda che chiede il lavoro ridotto. 2 Il servizio competente determina la perdita di lavoro in base agli ultimi sei o dodici mesi e prende in considerazione la perdita di lavoro più favorevole per il lavoratore.” L’art. 8f dell’Ordinanza COVID-19 assicurazione contro la disoccupazione, modifica del 28 ottobre 2020, valida retroattivamente dal 1° settembre 2020 al 30 giugno 2021 (RU 2020 4517), enuncia: " 1 In deroga agli articoli 31 capoverso 3 lettera a e 33 capoverso 1 lettera b LADI, il lavoratore su chiamata il cui grado di occupazione subisce forti oscillazioni (superiori al 20 %) ha altresì diritto all’indennità per lavoro ridotto se è impiegato a tempo indeterminato da almeno sei mesi nell’azienda che chiede il lavoro ridotto. 2 La perdita di lavoro è determinata in base agli ultimi sei o 12 mesi che precedono l’inizio del lavoro ridotto da parte del lavoratore su chiamata interessato; è presa in considerazione la perdita di lavoro più favorevole per il lavoratore. 3 L’articolo 57 dell’ordinanza del 31 agosto 1983 sull’assicurazione contro la disoccupazione non si applica ai lavoratori su chiamata il cui grado di occupazione è soggetto a forti oscillazioni.” In proposito cfr. STF 8C_17/2021 del 20 maggio 2021 consid. 3 e 4.4., pubblicata in 147 V 359. Il diritto all’indennità per lavoro ridotto è stato prorogato dal mese di luglio al mese di settembre 2021 per il lavoratore su chiamata il cui grado di occupazione subisce forti oscillazioni (superiori al 20 %) se è impiegato a tempo indeterminato da almeno sei mesi nell’azienda che chiede il lavoro ridotto e i provvedimenti disposti dalle autorità impediscono la piena ripresa dell’attività in azienda (cfr. art. 8f dell’Ordinanza COVID-19 assicurazione contro la disoccupazione, modifica del</w:t>
      </w:r>
    </w:p>
    <w:p>
      <w:r>
        <w:rPr>
          <w:b/>
        </w:rPr>
        <w:t>E. 23</w:t>
      </w:r>
    </w:p>
    <w:p>
      <w:r>
        <w:t>giugno 20217, deve limitare l’accesso alle persone provviste sia di un certificato di vaccinazione o guarigione sia di un certificato di test.” 2.14.   Questa Corte osserva poi che, come evidenziato dall’amministrazione (cfr. doc. III pag. 6), le cinque dipendenti della Fondazione attive per il settore __________, __________ al 50%, __________ al 40%, __________ su chiamata, __________ su chiamata e __________, svolgevano funzioni (responsabile, docenti, animatrice e addetta alle pulizie) necessarie per l’espletamento delle mansioni della __________. Del resto, ad eccezione di __________, assunta a partire dal gennaio 2020, per la quale il termine di disdetta era di un mese, per le altre quattro collaboratrici alle dipendenze dell’insorgente da più di due anni il termine era comunque di due mesi (cfr. art. 335c cpv. 1 CO: “ Il rapporto di lavoro può essere disdetto per la fine di un mese, nel primo anno di servizio con preavviso di un mese, dal secondo al nono anno di servizio incluso con preavviso di due mesi e in seguito con preavviso di tre mesi”). Inoltre, per inciso, giova osservare che i corsi, convegni, visite guidate organizzati nel 2020, nonostante nel 2018 siano stati complessivamente 2489 e nel 2019 2286, sono stati ad ogni modo 1151 (cfr. doc. A18). Va altresì considerato, come sottolineato anche dalla Sezione del lavoro (cfr. doc. III), che con effetto dal 2 giugno 2020 __________, laureato in biologia con dottorato in biologia, ha assunto il ruolo di responsabile della __________, dal 2021 al 50% (cfr. doc. A18), al fine “ di rilanciare e consolidare le attività didattiche tenendo conto del nuovo contesto sociale, delle nuove necessità e del potenziale scientifico e didattico del comparto. Dovrà inoltre rinforzare e ottimizzare le collaborazioni esistenti e crearne di nuove a beneficio della regione” (cfr. doc. I). Nel ricorso è stato specificato che “per raggiungere gli obiettivi proposti, in una prima fase di start-up questo lavoro è possibile solo con il contributo degli enti pubblici (che hanno peraltro già aderito)” (cfr. doc. I). In simili condizioni, in applicazione dell’abituale criterio della probabilità preponderante valido nel settore delle assicurazioni sociali (cfr. STF 8C_600/2021 del 3 marzo 2022 consid. 3; STF 8C_404/2020 dell’11 giugno 2021 consid. 6.2.1.; STF 8C_404/2020 dell’11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DTF 142 V 435 consid. 1; DTF 129 V 177 consid. 3 pag. 181; DTF 126 V 353 consid. 5b pag. 360; DTF 125 V 193 consid. 2 pag. 195) occorre concludere che le dipendenti della ricorrente del __________ non fossero esposte al rischio concreto e immediato di licenziamento. 2.15. Nemmeno l’esistenza stessa della __________ della Fondazione ricorrente era, d’altronde, minacciata. In effetti l’insorgente usufruisce per l). Il contributo di fr. 5'000.-- è peraltro stato messo a preventivo anche per il 2021 (__________). Il sussidio da parte della Divisione della Formazione Professionale è calcolato sugli stipendi versati ai docenti e nel 2019 è stato di fr. 60'000.-- (cfr. doc. 6.8). Dal conto economico esercizio 2020 risulta che nel 2020 i “contributi diversi” ammontano a fr. 29'000.-- (cfr. doc. 14.3). In ogni caso decisiva è la circostanza che il risultato d’esercizio prima di ammortamenti per il 2020 della Fondazione (quindi computate, oltre ai ricavi, le retribuzioni lorde per il 2020 di fr. 587'958.85 + oneri sociali + indennità e altri costi del personale) è positivo e corrisponde a fr. 92'167.45 (nel 2019 a fr. 202'580.81; cfr. doc. 14.3). Inoltre il 3 giugno 2020 la Fondazione ha comunque dichiarato che “le perdite d’esercizio vengono coperte dal capitale della fondazione” (cfr. doc. 6). Dal bilancio al 31 dicembre 2020 emerge che il patrimonio della Fondazione nel dicembre 2020 era pari a circa fr. 700'000.-- (fr. 798'163.25 – la perdita riportata di fr. 94'457.44) e nel dicembre 2019 a circa fr. 550'000.-- (fr. 763'042.56 – la perdita riportata di fr. 214'780.76; cfr. doc. 14.3.). Ne discende che nel periodo marzo - agosto 2020 non era a rischio l’esistenza stessa dell’insorgente e più specificatamente della __________. 2.16.   Alla luce delle risultanze di cui sopra, non essendo adempiute le due condizioni cumulative per riconoscere il diritto alle ILR (cfr. consid. 2.12.; 2.14.; 2.15.), il TCA non può che confermare la decisione su opposizione del 16 dicembre 2021. 2.17.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gennaio 2022, per cui torna applicabile la disposizione legale valida dal 1° gennaio 2021. 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