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38.2022.26 vom 18. Juli 2022</w:t>
      </w:r>
    </w:p>
    <w:p>
      <w:r>
        <w:t>TI Tribunale d'appello, 2022-07-18, IT</w:t>
      </w:r>
    </w:p>
    <w:p>
      <w:r>
        <w:rPr>
          <w:b/>
        </w:rPr>
        <w:t xml:space="preserve">Quelle: </w:t>
      </w:r>
      <w:r>
        <w:t>https://mcp.opencaselaw.ch/entscheid/ti_gerichte_38.2022.26</w:t>
      </w:r>
    </w:p>
    <w:p>
      <w:r>
        <w:t>FR: TI_GERICHTE 38.2022.26 du 18 juillet 2022</w:t>
      </w:r>
    </w:p>
    <w:p>
      <w:r>
        <w:t>IT: TI_GERICHTE 38.2022.26 del 18 luglio 2022</w:t>
      </w:r>
    </w:p>
    <w:p>
      <w:pPr>
        <w:pStyle w:val="Heading2"/>
      </w:pPr>
      <w:r>
        <w:t>Regeste</w:t>
      </w:r>
    </w:p>
    <w:p>
      <w:r>
        <w:t>Indennità lavoro ridotto negate a società attiva nella locazione e gestione di immobili in quanto le minori cifre d'affari conseguite non sono da ascrivere alla pandemia. Possono rimanere aperte le questioni relative all'esistenza di settori d'esercizio ed all'oscillazione della cifra d'affari (25%)</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 33 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C29Il disciplinamento del lavoro ridotto fa spesso riferimento alla nozione dazienda:</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non ha apportato modifiche ai p.ti 2.1, 2.2., 2.3 e 2.5.</w:t>
      </w:r>
    </w:p>
    <w:p>
      <w:r>
        <w:t>Il tenore dei p.ti 2.1, 2.2, 2.3 e 2.5 non ha subito cambiamenti nella Direttiva 2021/07 del 20 aprile 2021, che ha sostituito quella del 19 marzo 2021, mentre nella Direttiva 2021/13 del 30 giugno 2021, che ha sostituito la Direttiva del 20 aprile 2021, il p.to 2.5in fineè stato così adeguato:</w:t>
      </w:r>
    </w:p>
    <w:p>
      <w:r>
        <w:t>2.6.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consid.5.2 pag. 445 seg.; DTF 140 V 314 consid. 3.3 pag. 317; DTF 138 V 50 consid. 4.1; DTF 133 V 587 consid. 6.1 pag. 591; DTF 133 V 257 consid. 3.2 pag. 258 seg.; DTF 132 V 125 consid. 4.4; DTF 132 V 203 consid. 5.1.2; DTF 131 V 286 consid. 5.1.; DTF 131 V 45 consid. 2.3; DTF 130 V 229 consid. 2.1.; DTF 127 V 57 consid.3a;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Chiamata a pronunciarsi in merito alla fattispecie, questa Corte, per quanto concerne le limitazioni imposte ai viaggiatori durante la pandemia, rileva innanzitutto che il 13 marzo 2020 la Svizzera ha introdotto controlli alle frontiere interne e disposto restrizioni d'entrata alla frontiera con l'Italia, estendendole progressivamente a tutti i Paesi, ad eccezione del Principato del Liechtenstein (cfr. RU 2020 773: art. 3 Ordinanza 2 sui provvedimenti per combattere il coronavirus (COVID-19) (Ordinanza 2 COVID-19) del 13 marzo 2020) secondo cui le persone provenienti da un Paese o da una regione a rischio che intendono entrare in Svizzera devono adempiere determinate condizioni;https://www.swissinfo.ch/ita/un-anno-fa-il-consiglio-federale-ordinava-il-lockdown/46447324).</w:t>
      </w:r>
    </w:p>
    <w:p>
      <w:r>
        <w:t>Tra il 25 marzo e metà giugno 2020 tutti i Paesi, ad eccezione del Principato del Liechtenstein, erano considerati Paesi a rischio ai sensi dellOrdinanza 2 COVID-19 (cfr. https://www.parlament.ch/it/ ratsbetrieb/suche-curia-vista/geschaeft?AffairId=20203204).</w:t>
      </w:r>
    </w:p>
    <w:p>
      <w:r>
        <w:t>Il 15 giugno 2020 la Svizzera ha revocato le restrizioni dentrata nei confronti di Austria, Germania, Francia e degli altri Stati UE/AELS e del Regno Unito il 15 giugno 2020 (cfr. https://www.admin.ch/gov/it/pagina-iniziale/documentazione/comunicati-stampa.msg-id-79365.html).</w:t>
      </w:r>
    </w:p>
    <w:p>
      <w:r>
        <w:t>Per quanto attiene al periodo che qui interessa, e meglio lestate del 2021, con riferimento ai motivi fatti valere dalla ricorrente per lintroduzione del lavoro ridotto, segnatamente circa le cancellazioni delle prenotazioni per il mese di agosto 2021 che la ricorrente ha osservato essere giunte da clienti in prevalenza da Paesi come la __________, i __________, il __________ e la __________ (cfr. doc. 3/1), si rileva che sin dal 31 maggio 2021, ex art. 3 cpv. 2 dellOrdinanza sui provvedimenti per combattere il coronavirus (COVID-19) nel settore del traffico internazionale viaggiatori (RS 818.101.27), le persone che entravano in Svizzera da Stati o regioni senza rischio elevato di contagio dovevano registrare i loro dati di contatto elettronicamente o su carta solo se lentrata avveniva in treno, autobus, nave o aereo, di modo che per lentrata nel nostro Paese in automobile non erano nemmeno tenute a registrare i propri dati. Coloro che, invece, giungevano in Svizzera dopo che, in un momento qualsiasi nei dieci giorni precedenti lentrata, avevano soggiornato in uno Stato o una regione con rischio elevato di contagio erano soggetti, a norma dellart. 7 cpv. 2 della medesima Ordinanza, oltre a dover attestare di essersi sottoposti nelle ultime 72 ore a unanalisi di biologia molecolare per il SARS-CoV-2 con risultato negativo, a svolgere una quarantena di 10 giorni, salvo che, ex art. 8 cpv. 1 lett. h, potessero provare di essere state vaccinati contro il SARS-CoV-2.</w:t>
      </w:r>
    </w:p>
    <w:p>
      <w:r>
        <w:t>A quel momento, tra gli Stati e le Regioni con elevato rischio di contagio, per i cui viaggiatori era previsto lobbligo di svolgere un periodo di quarantena di 10 giorni allarrivo qualora i medesimi non potesse provare di essere stati vaccinati contro il Covid-19, si annoveravano il __________ ed il __________.</w:t>
      </w:r>
    </w:p>
    <w:p>
      <w:r>
        <w:t>Il 3 giugno 2021, il __________ è stato inserito nella lista degliStati e regioni con una mutazione del SARS-CoV-2 che presenta un rischio maggiore di infezione o di decorso grave della malattia (art. 2 cpv. 1 lett. a). I viaggiatori in provenienza dal Paese in questione non soggiacevano, comunque, allobbligo di registrazione, test e quarantena se vaccinati contro il SRAS-CoV-2 (art. 8 cpv. 1 lett. h).</w:t>
      </w:r>
    </w:p>
    <w:p>
      <w:r>
        <w:t>I __________ ed il __________ sempre con leccezione per i vaccinati, - esentati da test e quarantena allentrata in Svizzera - rientravano nellelenco dei Paesi considerati a rischio sino al 23 giugno 2021 (cfr. Ordinanza COVID-19 provvedimenti nel settore del traffico internazionale viaggiatori del 23 giugno 2021, RS 818.101.27), data a decorrere dalla quale sono state soppresse le limitazioni in entrata anche per i viaggiatori in provenienza dal __________. Tale nazione è, poi, stata reinserita nella lista degliStati e regioni con una variante preoccupante del virus non immunoevasiva (art. 2 cpv. 1 e 3)3 giorni dopo, e meglio dal 26 giugno 2021 (sempre con leccezione a test e quarantene per i vaccinati; cfr. art. 8 cpv. 2 lett. e).</w:t>
      </w:r>
    </w:p>
    <w:p>
      <w:r>
        <w:t>LOrdinanza COVID-19 provvedimenti nel settore del traffico internazionale viaggiatori in vigore del 4 agosto 2021 ed il relativo Allegato, invece, non annoverano, tra gli Stati e le Regioni con una variante preoccupante del virus, alcuna Nazione (cfr. RS 818.101.27 nella versione in vigore dal 4 agosto 2021).</w:t>
      </w:r>
    </w:p>
    <w:p>
      <w:r>
        <w:t>2019-attualmente</w:t>
      </w:r>
    </w:p>
    <w:p>
      <w:r>
        <w:t>2019-attualmente</w:t>
      </w:r>
    </w:p>
    <w:p>
      <w:r>
        <w:t>2019-attualmente</w:t>
      </w:r>
    </w:p>
    <w:p>
      <w:r>
        <w:t>2019-attualmente</w:t>
      </w:r>
    </w:p>
    <w:p>
      <w:r>
        <w:t>(cfr. doc. 3/9)</w:t>
      </w:r>
    </w:p>
    <w:p>
      <w:r>
        <w:t>Per costante giurisprudenza federale si presume che la perdita di lavoro sia temporanea (cfr. DTF 111 V 379 consid.2b pag. 384,Rubin, Commentaire de la loi sur lassurance-chômage.Ed. Schulthess 2014 pag. 345).</w:t>
      </w:r>
    </w:p>
    <w:p>
      <w:r>
        <w:t>2.12.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w:t>
      </w:r>
    </w:p>
    <w:p>
      <w:r>
        <w:t>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6 dicembre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