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38.2022.12 vom 17. Oktober 2022</w:t>
      </w:r>
    </w:p>
    <w:p>
      <w:r>
        <w:t>TI Tribunale d'appello, 2022-10-17, IT</w:t>
      </w:r>
    </w:p>
    <w:p>
      <w:r>
        <w:rPr>
          <w:b/>
        </w:rPr>
        <w:t xml:space="preserve">Quelle: </w:t>
      </w:r>
      <w:r>
        <w:t>https://mcp.opencaselaw.ch/entscheid/ti_gerichte_38.2022.12</w:t>
      </w:r>
    </w:p>
    <w:p>
      <w:r>
        <w:t>FR: TI_GERICHTE 38.2022.12 du 17 octobre 2022</w:t>
      </w:r>
    </w:p>
    <w:p>
      <w:r>
        <w:t>IT: TI_GERICHTE 38.2022.12 del 17 ottobre 2022</w:t>
      </w:r>
    </w:p>
    <w:p>
      <w:pPr>
        <w:pStyle w:val="Heading2"/>
      </w:pPr>
      <w:r>
        <w:t>Regeste</w:t>
      </w:r>
    </w:p>
    <w:p>
      <w:r>
        <w:t>Decisione di restituzione (ricalcolato GA diminuendolo, poiché pochi gg prima di ricevere alcuni stipendi + 13. assicurato accreditato all'azienda del denaro) annullata. Necessari accertamenti (situazione finanziaria azienda e rimborso prestito). In caso di dubbio attendere esito pocedimento penale</w:t>
      </w:r>
    </w:p>
    <w:p>
      <w:pPr>
        <w:pStyle w:val="Heading2"/>
      </w:pPr>
      <w:r>
        <w:t>Erwägungen</w:t>
      </w:r>
    </w:p>
    <w:p>
      <w:r>
        <w:rPr>
          <w:b/>
        </w:rPr>
        <w:t>E. 28</w:t>
      </w:r>
    </w:p>
    <w:p>
      <w:r>
        <w:t>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2.3.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w:t>
      </w:r>
    </w:p>
    <w:p>
      <w:r>
        <w:t>In virtù e nellambito della delega legislativa, in particolare per quanto attiene al periodo di calcolo per il guadagno assicurato, il Consiglio federale ha stabilito cheil guadagno assicurato è calcolato in base al salario medio degli ultimi sei mesi di contribuzione (art. 11) che precedono il termine quadro per la riscossione della prestazione (art. 37 cpv. 1 OADI).</w:t>
      </w:r>
    </w:p>
    <w:p>
      <w:r>
        <w:t>Il guadagno assicurato è calcolato in base al salario medio degli ultimi dodici mesi di contribuzione che precedono il termine quadro per la riscossione della prestazione se tale salario è più elevato del salario medio di cui al capoverso 1 (cfr. art. 37 cpv. 2 OADI).</w:t>
      </w:r>
    </w:p>
    <w:p>
      <w:r>
        <w:t>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w:t>
      </w:r>
    </w:p>
    <w:p>
      <w:r>
        <w:t>Se il salario varia in seguito all'orario di lavoro usuale nel ramo, il guadagno assicurato è calcolato conformemente ai capoversi 1-3, al massimo tuttavia in base all'orario annuo medio convenuto contrattualmente (cfr. art. 37 cpv. 3bis OADI).</w:t>
      </w:r>
    </w:p>
    <w:p>
      <w:r>
        <w:t>Il Consiglio federale ha pure stabilito che per periodi che, secondo lart. 13 cpv. 2 lett. b-d LADI, sono computati come periodi di contribuzione, è determinante il salario che lassicurato avrebbe normalmente ottenuto (cfr. art. 39 OADI).</w:t>
      </w:r>
    </w:p>
    <w:p>
      <w:r>
        <w:t>Lart. 13 cpv. 2 lett. c LADI stabilisce che sono computati quali periodi di contribuzione i periodi in cui lassicurato è vincolato da un rapporto di lavoro, ma, per malattia (art. 3 LPGA) o infortunio (art. 4 LPGA), non riceve salario e non paga quindi i contributi.</w:t>
      </w:r>
    </w:p>
    <w:p>
      <w:r>
        <w:t>2.4.  Per costante giurisprudenza, determinanti ai fini del calcolo del guadagno assicurato ai sensi dellart. 23 LADIsono i redditi effettivamente percepiti sotto forma di salario durante il periodo di calcolo (cfr. DTF 123 V 72 consid. 3; DLA 1995 Nr. 15 pag. 81 consid. 2c).</w:t>
      </w:r>
    </w:p>
    <w:p>
      <w:r>
        <w:t>Il Tribunale federale delle assicurazioni, in una sentenza C 180/01 del 5 giugno 2002, pubblicata in DTF 128 V 189, haconfermato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w:t>
      </w:r>
    </w:p>
    <w:p>
      <w:r>
        <w:t>Al riguardo cfr. pure STF 8C_921/2013 del 15 aprile 2014; STFA C 9/02 del 19 novembre 2002; STCA 38.2011.3 del 5 settembre 2011, massimata in RtiD I-2012 N. 83 pag. 460-461.</w:t>
      </w:r>
    </w:p>
    <w:p>
      <w:r>
        <w:t>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w:t>
      </w:r>
    </w:p>
    <w:p>
      <w:r>
        <w:t>Inoltre con sentenza8C_913/2011 del 10 aprile 2012 il Tribunale federale, chinandosi su una fattispecie in cui litigiosa erasoltanto la questione concernente la determinazione del guadagno assicurato, mentre non era più contestato ladempimento del periodo di contribuzione riconosciuto tramite lesercizio da parte dellassicurato di unattività lavorativa, ha stabilito che in quel caso, siccome non era definibile lentità del salario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w:t>
      </w:r>
    </w:p>
    <w:p>
      <w:r>
        <w:t>Ciò ha comportato il diniego della pretesa di prestazioni dellassicurazione contro la disoccupazione.</w:t>
      </w:r>
    </w:p>
    <w:p>
      <w:r>
        <w:t>In proposito cfr. pureSTF 8C_627/2017 del 26 gennaio 2018, pubblicata in DLA 2018 N. 1 pag. 93;STF 8C_387/2015 dell11 agosto 2015 consid. 3 in fine; STF 8C_75/2013 del 25 giugno 2013 consid. 3.5.</w:t>
      </w:r>
    </w:p>
    <w:p>
      <w:r>
        <w:t>In una sentenza8C_150/2020 dell8 aprile 2020,pubblicata in SVR 2020 ALV nr. 16 pag. 50 e commentata da Patricia Usinger-Egger in SZS/RSAS 4/2020, lAlta Corte,dopo aver ricordato che per calcolare il guadagno assicurato si può derogare al principio secondo cui determinanti sono i redditi effettivamente percepiti, e quindi è possibile basarsi sull'accordo salariale tra il datore di lavoro e il lavoratore, soltanto qualora possa essere escluso un abuso nel senso di accordi circa salari fittizi(consid. 2), ha stabilito che in quel caso di specie a ragione era stata respinta la richiesta di prestazioni di unassicurata. Il TF, al riguardo, ha osservato che, in effetti, visto che il salario fissato contrattualmente non era stato versato, bensì unicamente registrato contabilmente, il guadagno assicurato non poteva essere determinato, precisando che da uno stipendio che risulta dai libri contabili, ma che non è mai stato realmente corrisposto a causa della situazione finanziaria dellazienda, non può derivare alcuna pretesa di indennità di disoccupazione. La nostra Massima Istanza ha rilevato che, se in una simile situazione si erogassero prestazioni, si farebbe ricadere il rischio aziendale sullassicurazione contro la disoccupazione, ciò che è contrario allo scopo di questultima. Il TF, infine, ha indicato che il fatto di aver versato i contributi sociali non implica automaticamente il riconoscimento delle ID.</w:t>
      </w:r>
    </w:p>
    <w:p>
      <w:r>
        <w:t>In relazione allo scopo della procedura di opposizione secondo lart. 52 LPGA la nostra Alta Corte ha del resto sviluppato le seguenti considerazioni:</w:t>
      </w:r>
    </w:p>
    <w:p>
      <w:r>
        <w:t>"()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188consid.1b p. 191).() (STF C 273/06 del 25 settembre 2007 consid. 3.2.)</w:t>
      </w:r>
    </w:p>
    <w:p>
      <w:r>
        <w:t>Al riguardo cfr. pureSTFA C 279/03 del 30 settembre 2005 consid. 4.</w:t>
      </w:r>
    </w:p>
    <w:p>
      <w:r>
        <w:t>In una sentenza 9C_675/2009 del 28 maggio 2010 consid. 8.3., il Tribunale federale ha, inoltre, ricordato che l'accertamento dei fatti incombe in primo luogo all'amministrazione in forza dell'obbligo derivante dall'art. 43 LPGA ed ha rilevato:</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38.2022.16 del 23 maggio 2022 consid. 2.12.; STCA 38.2022.20 del 25 aprile 2022 consid. 2.9.; STCA 38.2021.89 del 7 febbraio 2022 consid. 2.11.).</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