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38.2021.97 vom 25. April 2022</w:t>
      </w:r>
    </w:p>
    <w:p>
      <w:r>
        <w:t>TI Tribunale d'appello, 2022-04-25, IT</w:t>
      </w:r>
    </w:p>
    <w:p>
      <w:r>
        <w:rPr>
          <w:b/>
        </w:rPr>
        <w:t xml:space="preserve">Quelle: </w:t>
      </w:r>
      <w:r>
        <w:t>https://mcp.opencaselaw.ch/entscheid/ti_gerichte_38.2021.97</w:t>
      </w:r>
    </w:p>
    <w:p>
      <w:r>
        <w:t>FR: TI_GERICHTE 38.2021.97 du 25 avril 2022</w:t>
      </w:r>
    </w:p>
    <w:p>
      <w:r>
        <w:t>IT: TI_GERICHTE 38.2021.97 del 25 aprile 2022</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w:t>
      </w:r>
    </w:p>
    <w:p>
      <w:r>
        <w:t>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2.2.c relativo alle aziende di nuova costituzione:</w:t>
      </w:r>
    </w:p>
    <w:p>
      <w:r>
        <w:t>La Direttiva 2021/07 del 20 aprile 2021, che ha sostituito quella del 19 marzo 2021, non ha apportato modifiche ai p.ti 2.1, 2.2, 2.2 c, 2.3 e 2.5, mentre la Direttiva 2021/13 del 30 giugno 2021, che ha sostituito la Direttiva del 20 aprile 2021, ha adeguato il p.to 2.5in fine:</w:t>
      </w:r>
    </w:p>
    <w:p>
      <w:r>
        <w:t>2.5.   Ledirettive amministrative- come la Prassi LADI emanata dalla SECO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STF9C_631/2019 del 19 giugno 2020 consid. 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2.8.Nella presente evenienza dalle carte processuali si evince che la __________, il cui titolare è RI 1, è stataiscritta a RC quale ditta individuale il 18 novembre 2019 (cfr. estratto RC reperibile nel sitowww.zefix.ch) e ha avviato la propria attività di vendita di prodotti e diconsulenza sugli acquisti a centri benessere, estetiste e parrucchieri nel gennaio 2020 (cfr. doc. 3; 11).</w:t>
      </w:r>
    </w:p>
    <w:p>
      <w:r>
        <w:t>Il 18 novembre 2019 RI 1 ha pure concluso un contratto di locazione relativo a un locale per uso commerciale adibito a magazzino e ufficio (cfr. doc. 14/1).</w:t>
      </w:r>
    </w:p>
    <w:p>
      <w:r>
        <w:t>Linsorgente ha alle proprie dipendenze unicamente __________, assunto dal 2 gennaio 2020 quale venditore al 100% a tempo indeterminato (cfr. doc. 3/1; 1).</w:t>
      </w:r>
    </w:p>
    <w:p>
      <w:r>
        <w:t>In relazione alla domanda di indennità per lavoro ridotto inoltrata dal ricorrente il 18 novembre 2020 (cfr. doc. 1; consid. 1.1.), il TCA ricorda innanzitutto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2.4.) stabiliscono peraltro chiaramente che sia la pandemia stessa, sia la perdita di lavoro ad essa associata devono essere considerate temporanee.</w:t>
      </w:r>
    </w:p>
    <w:p>
      <w:r>
        <w:t>Con il nuovo preannuncio del 18 novembre 2020 linsorgente ha postulato il lavoro ridotto per il periodo a decorrere dal 1° dicembre 2020 al 28 febbraio 2021 a favore del suo unico dipendente per una perdita di lavoro probabile dell80%, indicando che a seguito delle nuove restrizioni lattività della nostra società notevolmente diminuita(cfr. doc. 1; consid. 1.1.).</w:t>
      </w:r>
    </w:p>
    <w:p>
      <w:r>
        <w:t>2.9.   Chiamato ora a pronunciarsi in merito alla fattispecie, il TCA evidenzia che è vero che nel lasso di tempo determinante, dicembre 2020 - febbraio 2021, la situazione epidemiologica era peggiorata sensibilmente e le autorità federali, come pure quelle del Canton Ticino, avevano introdotto misure restrittive in diversi settori economici.</w:t>
      </w:r>
    </w:p>
    <w:p>
      <w:r>
        <w:t>In una sentenza C 302/05 del 25 luglio 2007 il Tribunale federale ha sviluppato le seguenti considerazioni riguardo alla prassi del TCA:</w:t>
      </w:r>
    </w:p>
    <w:p>
      <w:r>
        <w:t>"6.1Per quel che attiene al merito della vertenza, può essere data adesione alla pronuncia impugnata, resa in ossequio ad una consolidata prassi giudiziaria cantonale, secondo la quale una flessione della cifra d'affari inferiore al 25% costituisce circostanza rientrante nella sfera normale del rischio aziendale di cui all'art. 33 cpv. 1 lett. a LADI.</w:t>
      </w:r>
    </w:p>
    <w:p>
      <w:r>
        <w:t>È vero che il primo criterio entrante in linea di conto è quello delle ore di lavoro fornite. L'art. 32 cpv. 1 LADI dispone infatti che una perdita di lavoro è computabile, ai fini del diritto a indennità per lavoro ridotto, se è dovuta a motivi economici ed è inevitabile (lett. a) e se per ogni periodo di conteggio è di almeno il 10% delle ore di lavoro normalmente fornite in complesso dai lavoratori dell'azienda (lett. b). È però anche vero che talora, in casi particolari come quello in oggetto, può essere opportuno confrontarsi con il criterio della cifra d'affari. Simile riferimento - perlomeno nelle circostanze della fattispecie - non costituisce soluzione insostenibile, contraria al diritto. D'altronde, il criterio della cifra d'affari non è nozione estranea in materia di indennità per lavoro ridotto. Così, giusta l'art. 51a cpv. 3 OADI, che disciplina le perdite di lavoro in seguito a perdite di clientela dovute a condizioni meteorologiche, l'attività dell'azienda è considerata notevolmente limitata se la cifra d'affari conseguita nel corrispondente periodo di conteggio non supera il 25% della media delle cifre d'affari realizzate nel corso degli ultimi cinque anni durante il medesimo periodo (cfr. pure, sul tema della cifra d'affari, Boris</w:t>
      </w:r>
    </w:p>
    <w:p>
      <w:r>
        <w:t>Rubin, Assurance-chômage, 2a ed., Zurigo/Basilea/Ginevra 2006, pag. 504 n. 6.1.8.1). Per quel che concerne poi gli eventuali rischi di una manipolazione arbitraria dei dati riferiti alla cifra d'affari, a   prescindere da ipotesi di natura penale, occorre rilevare che è comunque possibile accertare agevolmente se vi siano stati spostamenti sospetti, esaminando la contabilità riferita ai periodi immediatamente precedenti e/o seguenti a quelli considerati. Ne consegue, in sostanza, che la soluzione adottata dalla Corte</w:t>
      </w:r>
    </w:p>
    <w:p>
      <w:r>
        <w:t>cantonale, fondata sul criterio della cifra d'affari anziché su quello delle ore di lavoro fornite, può nella concreta fattispecie essere condivisa.</w:t>
      </w:r>
    </w:p>
    <w:p>
      <w:r>
        <w:t>(...).</w:t>
      </w:r>
    </w:p>
    <w:p>
      <w:r>
        <w:t>Da queste tavole sinottiche risulta un'oscillazione della cifra d'affari del 17,22% nei cinque mesi da gennaio a maggio 2004/2005 e del 16,3% nel corrispondente periodo 2003/2004. La variazione è invece del 17,61% nei tre mesi da marzo a maggio 2004/2005 e del 23,73% nel corrispondente trimestre 2003/2004.</w:t>
      </w:r>
    </w:p>
    <w:p>
      <w:r>
        <w:t>Ora, in considerazione del fatto - come peraltro rilevato dai primi giudici e dalla Sezione cantonale del lavoro - che la cifra d'affari della X.________ Sagl, per il periodo entrante in linea di conto negli anni 2003-2005, ha avuto una variazione tra il 16,3% e il 23,73%, valori, questi, inferiori al limite determinante del 25%, le chieste prestazioni non possono essere assegnate.</w:t>
      </w:r>
    </w:p>
    <w:p>
      <w:r>
        <w:t>A nulla giova alla ricorrente sostenere che i primi giudici hanno omesso di considerare in modo sufficiente la giovane età dell'azienda, fondata nel 1989 - ossia ben 16 anni prima della richiesta di indennità per lavoro ridotto -, quando la stessa ditta motiva l'introduzione del lavoro ridotto per mancanza di lavoro e per evitare eventuali licenziamenti. Premesso che la ditta in questione non può sicuramente essere considerata come "giovane", occorre</w:t>
      </w:r>
    </w:p>
    <w:p>
      <w:r>
        <w:t>ricordare che, pur riconoscendo la difficile situazione del mercato in cui opera X.________ Sagl, riconducibile in parte anche all'apertura delle frontiere alle ditte estere, sicuramente concorrenziali, non è scopo dell'assicurazione contro la disoccupazione permettere al datore di lavoro di conservare personale in esubero quando già per sua stessa ammissione afferma esservi "crisi di lavoro", e in particolare quando asserisce che la perdita di lavoro temporanea è riconducibile ad una "politica sbagliata", verosimilmente intendendo la normativa entrata in vigore favorevole all'espansione nel Cantone Ticino di ditte italiane situate in prossimità del confine. Compete infatti al datore di lavoro, e non alle assicurazioni sociali, prevedere l'evoluzione e prendere provvedimenti adeguati e tempestivi per rendere efficiente e autonoma la ditta, a prescindere dall'evoluzione generale del mercato per effetto di mutamenti legislativi a livello europeo."</w:t>
      </w:r>
    </w:p>
    <w:p>
      <w:r>
        <w:t>In una sentenza C 189/02 del 15 marzo 2004 il Tribunale federale, confermando un giudizio di questo Tribunale, ha negato il diritto a beneficiare di indennità per lavoro ridotto a una ditta attiva nel settore delle materie plastiche, rilevando in particolare:</w:t>
      </w:r>
    </w:p>
    <w:p>
      <w:r>
        <w:t>Pure correttamente i primi giudici hanno infine asserito non essere scopo della LADI permettere al datore di lavoro di conservare personale in esubero, per poter far fronte, se del caso, ad eventuali aumenti di attività per periodi di tempo limitati. (...)"</w:t>
      </w:r>
    </w:p>
    <w:p>
      <w:r>
        <w:t>In una sentenza 38.2009.39 del 7 settembre 2009 il TCA ha confermato il rifiuto del diritto ad indennità per lavoro ridotto, rilevando:</w:t>
      </w:r>
    </w:p>
    <w:p>
      <w:r>
        <w:t>In una sentenza 38.2021.55 del 29 novembre 2021, il TCA ha poi ritenuto che loscillazione della cifra di affari realizzata da una ditta dopo lo scoppio della pandemia COVID-19 rientrava nel normale rischio aziendale, in quanto quella ottenuta da gennaio a maggio 2021 era inferiore del 10% rispetto a quella del 2020 ed era superiore, a parità di collaboratori, rispetto a quella del 2019.</w:t>
      </w:r>
    </w:p>
    <w:p>
      <w:r>
        <w:t>Questo Tribunale ricorda che la regola dei quattro anni fissati dalla giurisprudenza cantonale per il confronto della cifra daffari non è assoluta ed è possibile, per validi motivi, prendere in considerazione anche un periodo inferiore di tempo (cfr. STF 302/05 del 25 luglio 2007; STCA 38.2021.55 del 29 novembre 2021 consid. 2.11., STCA 38.2021.100 del 21 marzo 2022 consid. 2.9. riassunte al consid. 2.10.).</w:t>
      </w:r>
    </w:p>
    <w:p>
      <w:r>
        <w:t>Siccome loscillazione riscontrata di circa il 15% è inferiore al 25%, essa rientra nel normale rischio aziendale del datore di lavoro.</w:t>
      </w:r>
    </w:p>
    <w:p>
      <w:r>
        <w:t>La perdita di lavoro, come stabilito dalla Sezione del lavoro, non può essere, pertanto, ritenuta computabile (art. 31 cpv. 1 lett. b, art. 32 cpv. 1 lett. a, art. 33 cpv. 1 lett. a LADI).</w:t>
      </w:r>
    </w:p>
    <w:p>
      <w:r>
        <w:t>2.12.   Per quanto attiene, infine, allasserzione ricorsuale secondo cuisicuramente anche altre grandi aziende nel medesimo settore avranno ricevuto contributi e la parità di trattamento deve in ogni caso essere garantita(cfr. doc. I), giova rilevare che una decisione viola lart. 8 Cost. (uguaglianza di trattamento) se opera delle distinzioni che nella situazione da regolamentare non appaiono giustificate da alcun motivo ragionevole oppure omette di fare delle distinzioni che invece si imporrebbero in base alle circostanze, ovvero se tratta in modo diverso ciò che è simile e in modo identico ciò che non lo è (cfr. STF 8C_ 148/2020 del 25 febbraio 2020; DTF 142 V 316 consid. 6.1.1.; STF 8C_867/2014 del 28 dicembre 2015 consid. 4.1.; STF 8C_605/2013 del 17 giugno 2014 consid. 3.2. ; DTF 136 I 297 consid. 6.1.).</w:t>
      </w:r>
    </w:p>
    <w:p>
      <w:r>
        <w:t>In casu nemmeno torna applicabile il principio delluguaglianza nellillegalità.</w:t>
      </w:r>
    </w:p>
    <w:p>
      <w:r>
        <w:t>Su questo tema cfr. pure; STF 9C_648/2019 del 16 dicembre 2019 consid. 5.3.; STF 8C_348/2017 del 5 luglio 2017; STF 9C_561/2016 del 27 marzo 2017; STF 9C_530/2015 del 28 settembre 2015; STF 9C_648/2014 del 3 marzo 2015; DTF 139 II 49; DTF 136 I 65; DTF 134 V 34; STF C 44/00 del 31 luglio 2003; STF K 133/01 del 20 gennaio 2003; STCA 42.2020.15 del 22 febbraio 2021 consid. 2.10.; STCA 38.2017.84 del 20 febbraio 2018 consid. 2.6.</w:t>
      </w:r>
    </w:p>
    <w:p>
      <w:r>
        <w:t>Nel caso di specie non è dato di sapere se la situazione del ricorrente sia effettivamente paragonabile a quella di altre ditte attive nello stesso settore. Ad ogni modo non risulta che la Sezione del lavoro abbia introdotto una prassi generalizzata contraria alla legge.</w:t>
      </w:r>
    </w:p>
    <w:p>
      <w:r>
        <w:t>La decisione su opposizione del 21 ottobre 2021 deve conseguentemente essere confermata.</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19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