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38.2021.88 vom 24. März 2020</w:t>
      </w:r>
    </w:p>
    <w:p>
      <w:r>
        <w:t>TI Tribunale d'appello, 2020-03-24, IT</w:t>
      </w:r>
    </w:p>
    <w:p>
      <w:r>
        <w:rPr>
          <w:b/>
        </w:rPr>
        <w:t xml:space="preserve">Quelle: </w:t>
      </w:r>
      <w:r>
        <w:t>https://mcp.opencaselaw.ch/entscheid/ti_gerichte_38.2021.88_d20200324</w:t>
      </w:r>
    </w:p>
    <w:p>
      <w:r>
        <w:t>FR: TI_GERICHTE 38.2021.88 du 24 mars 2020</w:t>
      </w:r>
    </w:p>
    <w:p>
      <w:r>
        <w:t>IT: TI_GERICHTE 38.2021.88 del 24 marzo 2020</w:t>
      </w:r>
    </w:p>
    <w:p>
      <w:pPr>
        <w:pStyle w:val="Heading2"/>
      </w:pPr>
      <w:r>
        <w:t>Regeste</w:t>
      </w:r>
    </w:p>
    <w:p>
      <w:r>
        <w:t>Negate ILR poiché esercizio pubblico senza gerente (sua esistenza è condizione indisp. per ottenere autorizz. ad apertura). Assenza persona che svolge ruolo fondam. rientra nel normale rischio aziendale indip. da pandemia. Perdita lavoro da ascrivere a circ. rientranti nel normale rischio aziendale</w:t>
      </w:r>
    </w:p>
    <w:p>
      <w:pPr>
        <w:pStyle w:val="Heading2"/>
      </w:pPr>
      <w:r>
        <w:t>Erwägungen</w:t>
      </w:r>
    </w:p>
    <w:p>
      <w:r>
        <w:rPr>
          <w:b/>
        </w:rPr>
        <w:t>E. 28</w:t>
      </w:r>
    </w:p>
    <w:p>
      <w:r>
        <w:t>ottobre 2015 consid. 4;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8C_624/2018 dell11 marzo 2019 consid. 2.2.; STF 8C_113/2012 del 21 dicembre 2012 consid. 5.1.; STF U 408/06 del 25 giugno 2007).</w:t>
      </w:r>
    </w:p>
    <w:p>
      <w:r>
        <w:t>Il TCA entrerà dunque nel merito del ricorso contro la decisione su opposizione del 13 ottobre 2021, che ha confermato la decisione del 1° settembre 2021.</w:t>
      </w:r>
    </w:p>
    <w:p>
      <w:r>
        <w:t>2.2.   I presupposti del diritto all'indennità per lavoro ridotto sono regolati all'art.</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3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 sufficientemente controllabile;</w:t>
      </w:r>
    </w:p>
    <w:p>
      <w:r>
        <w:t>b.   il coniuge del datore di lavoro occupato nell'azienda di     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SECO ha stabilito che:</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().</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Nella Direttiva 2020/15: Aggiornamento «Disposizioni speciali a causa della pandemia» del 30 ottobre 2020, che sostituisce la Direttiva 2020/12 del 27 agosto 2020, la SECO ha precisato che:</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OADI).()</w:t>
      </w:r>
    </w:p>
    <w:p>
      <w:r>
        <w:t>I p.ti 2.1, 2.2. e 2.3 sono in seguito rimasti invariati, ad esempio nella Direttiva 2021/06: Aggiornamento «Disposizioni speciali a causa della pandemia» del 19 marzo 2021, che sostituisce la Direttiva 2021/01 del 20 gennaio 2021 e nella Direttiva 2021/13 Aggiornamento «Disposizioni speciali a causa della pandemia» del 30 giugno 2021, che sostituisce la Direttiva 2021/07 del 20 aprile 2021.</w:t>
      </w:r>
    </w:p>
    <w:p>
      <w:r>
        <w:t>2.4.   Ledirettive amministrative- come la Prassi LADI emanata dalla SECO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consid.5.2 pag. 445 seg.; DTF 140 V 314 consid. 3.3 pag. 317; DTF 138 V 50 consid. 4.1; DTF 133 V 587 consid. 6.1 pag. 591; DTF 133 V 257 consid. 3.2 pag. 258 seg.; DTF 132 V 125 consid. 4.4; DTF 132 V 203 consid. 5.1.2; DTF 131 V 286 consid. 5.1.; DTF 131 V 45 consid. 2.3; DTF 130 V 229 consid. 2.1.; DTF 127 V 57 consid.3a;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 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proposito cfr. STF 2C_105/2009 del 18 settembre 2009.</w:t>
      </w:r>
    </w:p>
    <w:p>
      <w:r>
        <w:t>2.9.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9 novembre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