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38.2021.61 vom 6. Dezember 2021</w:t>
      </w:r>
    </w:p>
    <w:p>
      <w:r>
        <w:t>TI Tribunale d'appello, 2021-12-06, IT</w:t>
      </w:r>
    </w:p>
    <w:p>
      <w:r>
        <w:rPr>
          <w:b/>
        </w:rPr>
        <w:t xml:space="preserve">Quelle: </w:t>
      </w:r>
      <w:r>
        <w:t>https://mcp.opencaselaw.ch/entscheid/ti_gerichte_38.2021.61</w:t>
      </w:r>
    </w:p>
    <w:p>
      <w:r>
        <w:t>FR: TI_GERICHTE 38.2021.61 du 6 décembre 2021</w:t>
      </w:r>
    </w:p>
    <w:p>
      <w:r>
        <w:t>IT: TI_GERICHTE 38.2021.61 del 6 dicembre 2021</w:t>
      </w:r>
    </w:p>
    <w:p>
      <w:pPr>
        <w:pStyle w:val="Heading2"/>
      </w:pPr>
      <w:r>
        <w:t>Regeste</w:t>
      </w:r>
    </w:p>
    <w:p>
      <w:r>
        <w:t>Riconsiderazione decisione ILR. Negato diritto a società x 2 dip.: a una disdetto contratto, ad altra a disdetta è però seguita riassunzione (80% invece di 100%, con stesso salario). Aumento retrib. implica comunque che perdita lavoro rientri nel normale rischio aziendale. Dec. manifestamente errata</w:t>
      </w:r>
    </w:p>
    <w:p>
      <w:pPr>
        <w:pStyle w:val="Heading2"/>
      </w:pPr>
      <w:r>
        <w:t>Erwägungen</w:t>
      </w:r>
    </w:p>
    <w:p>
      <w:r>
        <w:rPr>
          <w:b/>
        </w:rPr>
        <w:t>E. 3</w:t>
      </w:r>
    </w:p>
    <w:p>
      <w:r>
        <w:t>e 4 LADI, art. 39 cpv. 1 LADI, art. 81 cpv. 1 lett. a LADI; art. 85 cpv. 1 lett. b LADI), che __________ è coniugata con __________ dal 1996 (cfr. consid. 2.5.). Quest’ultimo, quale amministratore unico della RI 1, ha ex lege una posizione analoga a quella di un datore di lavoro (cfr. DTF 122 V 270; STF 8C_571/2012 del 21 gennaio 2013; STF C 292/05 del 16 febbraio 2007). Ai fini dell’applicazione dell’art. 31 cpv. 3 lett. c LADI, che estende l’esclusione dal diritto a ILR ai coniugi (occupati nell’azienda) delle persone che possono influenzare risolutivamente le decisioni del datore di lavoro, la separazione di fatto dei coniugi dal giugno 2015, fatta valere nel caso concreto da __________ (cfr. doc. 8; I; consid. 2.5.), si rivela ininfluente. Infatti, per costante giurisprudenza federale, il fatto che un assicurato sia coniugato con una persona che riveste una posizione analoga a quella di un datore di lavoro in un’azienda in cui anch’egli lavora è sufficiente per escludere il diritto a indennità per lavoro ridotto. Questa esclusione è assoluta. Non è così possibile concedere prestazioni in un caso specifico a determinate condizioni. L’art. 31 cpv. 3 lett. c LADI ha lo scopo di prevenire un rischio di abuso. Tale rischio è il medesimo che si tratti di indennità di disoccupazione, indennità per lavoro ridotto o indennità d’insolvenza. Ne consegue che non si giustifica di trattare differentemente i coniugi di persone con posizione analoga al datore di lavoro nell’ambito di questi tre tipi di prestazioni (cfr. STF 8C_639/2015 del 6 aprile 2016 consid. 4.1., pubblicata in DTF 142 V 263). Nella DTF 142 V 263, appena citata, l’Alta Corte ha indicato che fino alla sentenza di divorzio non sono dovute indennità dell'assicurazione contro la disoccupazione, poiché fino a quel momento permane un rischio di abuso e ciò indipendentemente dalla questione di sapere se e da quanto i coniugi siano separati di fatto o di diritto o se sia stata ordinata una misura a protezione dell'unione coniugale. Il diritto a indennità di disoccupazione, per evitare un pericolo di elusione, non può nascere in presenza di un matrimonio duraturo, anche se la volontà di divorziare dei coniugi separati da lungo tempo appare chiaramente determinata (in quella fattispecie i coniugi erano separati da circa cinque anni e il marito aveva costituito una nuova famiglia). Con sentenza 8C_574/2017 del 4 settembre 2018, pubblicata in DLA 2018 N. 12 pag. 342, il Tribunale federale ha poi confermato la giurisprudenza secondo cui è esclusa dal diritto all’indennità di disoccupazione la persona che ha operato nell’azienda del coniuge, laddove quest’ultimo svolga un ruolo assimilabile a quello del datore di lavoro. Anche nell’eventualità di una separazione l’esclusione sussiste fino alla sentenza di divorzio. A nulla di diverso hanno condotto le circostanze di quel caso di specie, e meglio che la coniuge licenziata fosse fuggita con i figli a causa di violenza domestica e che il marito fosse stato arrestato per tale motivo. Al riguardo vedi pure la STF 8C_164/2020 del 17 aprile 2020. 2.13.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19 agosto 2021, per cui torna applicabile la nuova disposizione legale. Trattandosi di prestazioni LADI, il legislatore non ha previsto di prelevare le spese (cfr. STCA 38.2020.43-44 del 13 settembre 2021 consid.2.12.; STCA 38.2021.11 del 7 giugno 2021 consid. 2.7.; STCA 38.2021.9 del 18 maggio 2021 consid. 2.14.; STCA 38.2021.8 dell’8 marzo 2021 consid. 2.8.). Sul tema cfr. anche la sentenza 8C_265/2021 del 21 luglio 2021.</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()</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OADI).()</w:t>
      </w:r>
    </w:p>
    <w:p>
      <w:r>
        <w:t>I p.ti 2.1, 2.2. e 2.3 sono rimasti invariati nella Direttiva 2021/01 Aggiornamento «Disposizioni speciali a causa della pandemia» del 20 gennaio 2021 che ha sostituito la Direttiva del 30 ottobre 2020, nella Direttiva 2021/06 del 19 marzo 2021 che ha sostituito la Direttiva 2021/01 del 20 gennaio 2021, nella Direttiva 2021/06 del 20 aprile 2021 che ha sostituito quella del 19 marzo 2021, nella Direttiva 2021/13 del 30 giugno 2021 che ha sostituito la Direttiva del 20 aprile 2021 e nella Direttiva 2021/16: Aggiornamento «Disposizioni speciali a causa della pandemia» del 1° ottobre 2021 che sostituisce la Direttiva 2021/13 del 30 giugno 2021 (cfr.https://www.arbeit.swiss/secoalv/it/home/service/publikationen/kreisschreiben---avig-praxis.html).</w:t>
      </w:r>
    </w:p>
    <w:p>
      <w:r>
        <w:t>2.4.   Ledirettive amministrative- come la Prassi LADI emanata dalla SECO -non costituiscono norme giuridiche e non sono vincolanti per il giudice delle assicurazioni sociali (cfr. STF 9C_458/2020 del 27 settembre 2021 consid. 4.1.; DTF 147 V 79 consid. 7.3.2.; STF 8C_721/2020 del 15 giugno 2021 consid. 5.5.2.2.; STF9C_631/2019 del 19 giugno 2020 consid. 2.3.;STF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2.5.   Nella presente evenienza dallestratto del Registro di commercio emerge che la società RI 1 ha il seguente scopo:</w:t>
      </w:r>
    </w:p>
    <w:p>
      <w:r>
        <w:t>La RI 1, il 3 dicembre 2020, ha inoltrato alla Sezione del lavoro un preannuncio di lavoro ridotto per il periodo 3 dicembre 2020 - 3 marzo 2021 per 10 degli 11 dipendenti, con una perdita di lavoro probabile del 30%. La richiesta è stata motivata facendo riferimento alcalo delle utenze a seguito delle restrizioni emanate a seguito della pandemia da Covid-19(cfr. doc.1; consid. 1.1.).</w:t>
      </w:r>
    </w:p>
    <w:p>
      <w:r>
        <w:t>In seguito la Sezione del lavoro ha esperito degli accertamenti (cfr. doc. 5; 6) e il 15 giugno 2021 ha riconsiderato la decisione su opposizione del 5 marzo 2021, negando il diritto alle indennità per lavoro ridotto per larco di tempo dal 12 dicembre 2020 al 2 marzo 2021 nei confronti di __________ e __________, in quanto i contratti di lavoro con le due dipendenti sono stati disdetti nei primi quindici giorni di ottobre 2020 (cfr. doc. 7; consid. 1.5.).</w:t>
      </w:r>
    </w:p>
    <w:p>
      <w:r>
        <w:t>Il provvedimento del 15 giugno 2021 è stato confermato con decisione su opposizione del 21 luglio 2021 (cfr. doc. A1; consid. 1.7.).</w:t>
      </w:r>
    </w:p>
    <w:p>
      <w:r>
        <w:t>L11 dicembre 2020 il Consiglio federale ha varato nuove restrizioni per le manifestazioni e per gli orari di apertura di ristoranti e altre strutture accessibili al pubblico.</w:t>
      </w:r>
    </w:p>
    <w:p>
      <w:r>
        <w:t>2.7.   In relazione alla domanda di indennità per lavoro ridotto inoltrata da RI 1 il 3 dicembre 2020 (cfr. doc. 1; consid. 1.1.), la Sezione del lavoro ha dapprima, il 7 dicembre 2020, emesso una decisione con la quale ha riconosciuto il relativo diritto dal 13 dicembre 2020 al 2 marzo 2021 (cfr. doc. 2; consid. 1.2.), poi esteso dal 12 dicembre 2020 al 2 marzo 2021 con decisione su opposizione del 5 marzo 2021 (cfr. doc. 4; consid. 1.4.). Questultimo provvedimento è stato riconsiderato il 15 giugno 2021 e il diritto è stato negato nei confronti delle dipendenti __________ e __________ (cfr. doc. 7; consid. 1.5.; 2.5.).</w:t>
      </w:r>
    </w:p>
    <w:p>
      <w:r>
        <w:t>Lart. 53 LPGA, concernente la revisione e la riconsiderazione, prevede:</w:t>
      </w:r>
    </w:p>
    <w:p>
      <w:r>
        <w:t>"1Le decisioni e le decisioni su opposizione formalmente passate in giudicato devono essere sottoposte a revisione se lassicurato o lassicuratore scoprono successi­vamente nuovi fatti rilevanti o nuovi mezzi di prova che non potevano essere prodotti in precedenza.</w:t>
      </w:r>
    </w:p>
    <w:p>
      <w:r>
        <w:t>2Lassicuratore può tornare sulle decisioni o sulle decisioni su opposizione formalmente passate in giudicato se è provato che erano manifestamente errate e se la loro rettifica ha una notevole importanza.</w:t>
      </w:r>
    </w:p>
    <w:p>
      <w:r>
        <w:t>3Lassicuratore può riconsiderare una decisione o una decisione su opposizione, contro le quali è stato inoltrato ricorso, fino allinvio del suo preavviso allautorità di ricorso.</w:t>
      </w:r>
    </w:p>
    <w:p>
      <w:r>
        <w:t>Lart. 53 LPGA ha codificato la giurisprudenza anteriore alla sua entrata in vigore (cfr. DTF 133 V 50 consid. 4.1; STF U 408/06 del 25 giugno 2007; STF C 128/06 del 10 maggio 2007; STF K 147/03 del 12 marzo 2004; STF U 149/03 del 22 marzo 2004; STF I 133/04 dell'8 febbraio 2005).</w:t>
      </w:r>
    </w:p>
    <w:p>
      <w:r>
        <w:t>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w:t>
      </w:r>
    </w:p>
    <w:p>
      <w:r>
        <w:t>Mediante la riconsiderazione si corregge unerrata applicazione iniziale del diritto, rispettivamente unerrata constatazione derivante dallapprezzamento dei fatti, e meglioun accertamento errato dei fatti, nel senso di una valutazione degli stessi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w:t>
      </w:r>
    </w:p>
    <w:p>
      <w:r>
        <w:t>Una decisione, per essere considerata manifestamente errata ai sensi dei disposti di cui allart. 53 cpv. 2 LPGA, non deve dare spazio ad alcun ragionevole dubbio, o, in altre paroleZweifellosigkeit bedeutet, dass kein vernünftiger Zweifel daran möglich sein darf, dass eine Unrichtigkeit vorliegt; es ist ein einziger Schluss - eben derjenige auf eine Unrichtigkeit  möglich(cfr. DTF 126 V 401; DTF 125 V 393; STF 9C_307/2011 del 23 novembre 2011 consid. 3.2.; STF U 288/05 del 14 dicembre 2005 consid. 2; STF U 378/05 del 10 maggio 2006 consid.5.2.; STFU 127/05 del 16 agosto 2005 consid. 2.1.; STCA 38.2015.69 del 5 aprile 2016).</w:t>
      </w:r>
    </w:p>
    <w:p>
      <w:r>
        <w:t>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w:t>
      </w:r>
    </w:p>
    <w:p>
      <w:r>
        <w:t>2.8.   In concreto il TCA ricorda che lart. 31 cpv. 1 lett. d LADI, prevede che i lavoratori hanno diritto allindennità per lavoro ridotto sela perdita di lavoro è probabilmente temporanea ed è presumibile che con la diminuzione del lavoro potranno essere conservati i posti di lavoro.(cfr. consid. 2.2.)</w:t>
      </w:r>
    </w:p>
    <w:p>
      <w:r>
        <w:t>Per costante giurisprudenza federale si presume che la perdita di lavoro sia temporanea (cfr. DTF 111 V 379 consid.2b pag. 384,B. Rubin, Commentaire de la loi sur lassurance-chômage.Ed. Schulthess 2014 pag. 345).</w:t>
      </w:r>
    </w:p>
    <w:p>
      <w:r>
        <w:t>Le direttive della SECO (cfr. consid. 2.3.) stabiliscono daltronde chiaramente chesia la pandemia stessa, sia la perdita di lavoro ad essa associata devono essere considerate temporanee.</w:t>
      </w:r>
    </w:p>
    <w:p>
      <w:r>
        <w:t>Di conseguenza la decisione su opposizione del 21 luglio 2021 deve essere confermata.</w:t>
      </w:r>
    </w:p>
    <w:p>
      <w:r>
        <w:t>2.13.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19 agosto 2021, per cui torna applicabile la nuova disposizione legale. Trattandosi di prestazioni LADI, il legislatore non ha previsto di prelevare le spese (cfr. STCA 38.2020.43-44 del 13 settembre 2021 consid.2.12.; STCA 38.2021.11 del 7 giugno 2021 consid. 2.7.; STCA 38.2021.9 del 18 maggio 2021 consid. 2.14.; STCA 38.2021.8 dell8 marzo 2021 consid. 2.8.).</w:t>
      </w:r>
    </w:p>
    <w:p>
      <w:r>
        <w:t>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