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38.2021.5 vom 17. August 2020</w:t>
      </w:r>
    </w:p>
    <w:p>
      <w:r>
        <w:t>TI Tribunale d'appello, 2020-08-17, IT</w:t>
      </w:r>
    </w:p>
    <w:p>
      <w:r>
        <w:rPr>
          <w:b/>
        </w:rPr>
        <w:t xml:space="preserve">Quelle: </w:t>
      </w:r>
      <w:r>
        <w:t>https://mcp.opencaselaw.ch/entscheid/ti_gerichte_38.2021.5_d20200817</w:t>
      </w:r>
    </w:p>
    <w:p>
      <w:r>
        <w:t>FR: TI_GERICHTE 38.2021.5 du 17 août 2020</w:t>
      </w:r>
    </w:p>
    <w:p>
      <w:r>
        <w:t>IT: TI_GERICHTE 38.2021.5 del 17 agosto 2020</w:t>
      </w:r>
    </w:p>
    <w:p>
      <w:pPr>
        <w:pStyle w:val="Heading2"/>
      </w:pPr>
      <w:r>
        <w:t>Regeste</w:t>
      </w:r>
    </w:p>
    <w:p>
      <w:r>
        <w:t>A ragione l'Ufficio misure attive ha negato il sussidio per spese di pendolare o soggiornante settimanale in quanto il luogo di lavoro si trova nella regione di domicilio (con auto privata 50 min. di tragitto). Esclusa l'applicazione del principio dell'uguaglianza nell'illegalità</w:t>
      </w:r>
    </w:p>
    <w:p>
      <w:pPr>
        <w:pStyle w:val="Heading2"/>
      </w:pPr>
      <w:r>
        <w:t>Erwägungen</w:t>
      </w:r>
    </w:p>
    <w:p>
      <w:r>
        <w:rPr>
          <w:b/>
        </w:rPr>
        <w:t>E. 1</w:t>
      </w:r>
    </w:p>
    <w:p>
      <w:r>
        <w:t>L'assicurazione accorda agli assicurati sussidi speciali se: a.  non è stato possibile procurare loro un'occupazione adeguata nella loro regione di domicilio; e b.  hanno adempiuto il periodo di contribuzione ai sensi dell'articolo 13.</w:t>
      </w:r>
    </w:p>
    <w:p>
      <w:r>
        <w:rPr>
          <w:b/>
        </w:rPr>
        <w:t>E. 2</w:t>
      </w:r>
    </w:p>
    <w:p>
      <w:r>
        <w:t>Gli assicurati interessati ricevono i sussidi, entro il termine quadro, per complessivamente sei mesi al massimo</w:t>
      </w:r>
    </w:p>
    <w:p>
      <w:r>
        <w:rPr>
          <w:b/>
        </w:rPr>
        <w:t>E. 2.4</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20 gennaio 2021 per cui si applica la nuova disposizione legale. Trattandosi di prestazioni LADI, il legislatore non ha previsto di prelevare le spese (cfr. STCA 38.2021.8 dell’8 marzo 2021 consid. 2.8.).</w:t>
      </w:r>
    </w:p>
    <w:p>
      <w:r>
        <w:rPr>
          <w:b/>
        </w:rPr>
        <w:t>E. 3</w:t>
      </w:r>
    </w:p>
    <w:p>
      <w:r>
        <w:t>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DTF 131 V 9 consid.</w:t>
      </w:r>
    </w:p>
    <w:p>
      <w:r>
        <w:rPr>
          <w:b/>
        </w:rPr>
        <w:t>E. 3.7</w:t>
      </w:r>
    </w:p>
    <w:p>
      <w:r>
        <w:t>pag. 20; 126 V 390 consid. 6a pag. 392; 122 II 446 consid. 4a pag. 451, con riferimenti di giurisprudenza e dottrina).</w:t>
      </w:r>
    </w:p>
    <w:p>
      <w:r>
        <w:rPr>
          <w:b/>
        </w:rPr>
        <w:t>E. 4</w:t>
      </w:r>
    </w:p>
    <w:p>
      <w:r>
        <w:t>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 Su questo tema cfr. pure; DTF 139 II 49; DTF 136 I 65; DTF 134 V 34; STF 9C_648/2019 del 16 dicembre 2019 consid. 5.3.STF 8C_348/2017 del 5 luglio 2017; STF 9C_561/2016 del 27 marzo 2017; STF 9C_530/2015 del 28 settembre 2015; STF 9C_648/2014 del 3 marzo 2015; STF C 44/00 del 31 luglio 2003; STF K 133/01 del 20 gennaio 2003; STCA 38.2017.84 del 20 febbraio 2018 consid. 2.6. Alla luce di quanto appena esposto, siccome l’UMA non ha instaurato una prassi contraria alla legge, l’assicurata non può pretendere anche in questa occasione il versamento delle prestazioni erroneamente riconosciutele nel 2019, quando ha lavorato presso il medesimo datore di lavoro (cfr. doc. XIV+1-2). La decisione su opposizione del 18 gennaio 2021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