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38.2021.46 vom 25. Oktober 2021</w:t>
      </w:r>
    </w:p>
    <w:p>
      <w:r>
        <w:t>TI Tribunale d'appello, 2021-10-25, IT</w:t>
      </w:r>
    </w:p>
    <w:p>
      <w:r>
        <w:rPr>
          <w:b/>
        </w:rPr>
        <w:t xml:space="preserve">Quelle: </w:t>
      </w:r>
      <w:r>
        <w:t>https://mcp.opencaselaw.ch/entscheid/ti_gerichte_38.2021.46</w:t>
      </w:r>
    </w:p>
    <w:p>
      <w:r>
        <w:t>FR: TI_GERICHTE 38.2021.46 du 25 octobre 2021</w:t>
      </w:r>
    </w:p>
    <w:p>
      <w:r>
        <w:t>IT: TI_GERICHTE 38.2021.46 del 25 ottobre 2021</w:t>
      </w:r>
    </w:p>
    <w:p>
      <w:pPr>
        <w:pStyle w:val="Heading2"/>
      </w:pPr>
      <w:r>
        <w:t>Regeste</w:t>
      </w:r>
    </w:p>
    <w:p>
      <w:r>
        <w:t>A torto negate ILR (31.7 -31.8.20) ritenendo azienda costituita durante pandemia. Costitituita 2/20 e acquistata da altra società. EP già esistente e operativo dal 2018. Perdita lavoro computabile (riduz. clienti x pandemia). ILR x dipendenti già attivi x prec. società e x nuovo dip. (responsabile)</w:t>
      </w:r>
    </w:p>
    <w:p>
      <w:pPr>
        <w:pStyle w:val="Heading2"/>
      </w:pPr>
      <w:r>
        <w:t>Erwägungen</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 sufficientemente controllabile;</w:t>
      </w:r>
    </w:p>
    <w:p>
      <w:r>
        <w:t>b.   il coniuge del datore di lavoro occupato nell'azienda di     quest'ultimo;</w:t>
      </w:r>
    </w:p>
    <w:p>
      <w:r>
        <w:t>c.   le persone che, come soci, compartecipi finanziari o membri di   un organo decisionale supremo dell'azienda, determinano o       possono influenzare risolutamente le decisioni del datore di                lavoro, come anche i loro coniugi occupati nell'azienda."</w:t>
      </w:r>
    </w:p>
    <w:p>
      <w:r>
        <w:t>2.2.   Nella Prassi LADI ILR, la Segretaria di Stato delleconomia (in seguito: SECO) ha stabilito che:</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Nella Direttiva 2020/15: Aggiornamento «Disposizioni speciali a causa della pandemia» del 30 ottobre 2020, che sostituisce la Direttiva 2020/12 del 27 agosto 2020, la SECO ha precisato che:</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OADI).()</w:t>
      </w:r>
    </w:p>
    <w:p>
      <w:r>
        <w:t>Nella Direttiva 2021/06 del 19 marzo 2021 che ha sostituito la Direttiva del 20 gennaio 2021 è stato introdotto il nuovo p.to 2.2.c relativo alle aziende di nuova costituzione:</w:t>
      </w:r>
    </w:p>
    <w:p>
      <w:r>
        <w:t>Né la Direttiva 2021/07 del 20 aprile 2021 che ha sostituito quella del 19 marzo 2021, né la Direttiva 2021/13 del 30 giugno 2021 che sostituisce la Direttiva del 20 aprile 2021 (cfr. https://www.arbeit.swiss/secoalv/it/home/service/publikationen/kreisschreiben---avig-praxis.html) hanno apportato modifiche ai p.ti 2.1, 2.2, 2.2c e 2.3.</w:t>
      </w:r>
    </w:p>
    <w:p>
      <w:r>
        <w:t>2.3.   Ledirettive amministrative- come la Prassi LADI emanata dalla SECO -non costituiscono norme giuridiche e non sono vincolanti per il giudice delle assicurazioni sociali (cfr. STF 9C_458/2020 del 27 settembre 2021 consid. 4.1.; DTF 147 V 79 consid. 7.3.2.; STF 8C_721/2020 del 15 giugno 2021 consid. 5.5.2.2.; STF9C_631/2019 del 19 giugno 2020 consid. 2.3.;STF 8C_331/2019 del 18 settembre 2019 consid. 4.3.; STF 8C_902/2017 del 12 giugno 2018 consid. 4.2., pubblicata in DTF 144 V 195; STF 8C_688/2011 del 13 febbraio 2012 consid.3.2.1;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2.7.Lart.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Secondolart. 82a LPGA (Disposizione transitoria, cfr. RU 2021 358), ai ricorsi pendenti dinanzi al tribunale di primo grado al momento dellentrata in vigore della modifica del 21 giugno 2019 si applica il diritto anteriore.</w:t>
      </w:r>
    </w:p>
    <w:p>
      <w:r>
        <w:t>In concreto, il ricorso è del 23 giugno 2021, per cui torna applicabile lanuovadisposizione legale. Trattandosi di prestazioni LADI, il legislatore non ha previsto di prelevare le spese (cfr. STCA 38.2021.11 del 7 giugno 2021 consid. 2.7.; STCA 38.2021.9 del 18 maggio 2021 consid. 2.14.; STCA 38.2021.8 dell8 marzo 2021 consid. 2.8.).</w:t>
      </w:r>
    </w:p>
    <w:p>
      <w:r>
        <w:t>Sul tema cfr. anche la sentenza 8C_265/2021 del 21 luglio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