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38.2021.38 vom 22. November 2021</w:t>
      </w:r>
    </w:p>
    <w:p>
      <w:r>
        <w:t>TI Tribunale d'appello, 2021-11-22, IT</w:t>
      </w:r>
    </w:p>
    <w:p>
      <w:r>
        <w:rPr>
          <w:b/>
        </w:rPr>
        <w:t xml:space="preserve">Quelle: </w:t>
      </w:r>
      <w:r>
        <w:t>https://mcp.opencaselaw.ch/entscheid/ti_gerichte_38.2021.38</w:t>
      </w:r>
    </w:p>
    <w:p>
      <w:r>
        <w:t>FR: TI_GERICHTE 38.2021.38 du 22 novembre 2021</w:t>
      </w:r>
    </w:p>
    <w:p>
      <w:r>
        <w:t>IT: TI_GERICHTE 38.2021.38 del 22 novembre 2021</w:t>
      </w:r>
    </w:p>
    <w:p>
      <w:pPr>
        <w:pStyle w:val="Heading2"/>
      </w:pPr>
      <w:r>
        <w:t>Erwägungen</w:t>
      </w:r>
    </w:p>
    <w:p>
      <w:r>
        <w:rPr>
          <w:b/>
        </w:rPr>
        <w:t>E. 5</w:t>
      </w:r>
    </w:p>
    <w:p>
      <w:r>
        <w:t>novembre 2009).</w:t>
      </w:r>
    </w:p>
    <w:p>
      <w:r>
        <w:t>2.2.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D4Per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Per quanto concerne il lavoro ridotto nelle aziende pubbliche e nellamministrazione la Prassi LADI ILR prevede:</w:t>
      </w:r>
    </w:p>
    <w:p>
      <w:r>
        <w:t>"()</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Nella Direttiva 2020/15: Aggiornamento «Disposizioni speciali a causa della pandemia» del 30 ottobre 2020 è stato, altresì, introdotto un nuovo punto 2.6 a relativo al preannuncio di organizzazioni non commerciali:</w:t>
      </w:r>
    </w:p>
    <w:p>
      <w:r>
        <w:t>"In generale, i singoli e quindi le organizzazioni (indipendentemente dalla loro forma giuridica) con cui sono impiegati non hanno diritto a ILR se non vi è una perdita economica e il lavoro ridotto non serve a mantenere i posti di lavoro.</w:t>
      </w:r>
    </w:p>
    <w:p>
      <w:r>
        <w:t>Un'organizzazione, ad esempio un'associazione o una cooperativa il cui scopo è il benessere dei suoi membri e che è finanziata dalle quote associative, non subisce alcuna perdita economica e i posti di lavoro non sono in pericolo. Non vi è quindi alcun diritto a ILR, anche se il lavoro dei dipendenti deve essere temporaneamente sospeso a causa di misure ufficiali.</w:t>
      </w:r>
    </w:p>
    <w:p>
      <w:r>
        <w:t>Tuttavia, un'associazione che fornisce servizi e si finanzia con le tasse che riceve in cambio (ad es. proventi delle vendite, biglietti d'ingresso) può subire perdite economiche a causa di misure ufficiali e i posti di lavoro possono essere messi in pericolo. Pertanto, il diritto allILR può essere soddisfatto se le altre condizioni sono soddisfatte (assenza dal lavoro inevitabile, non può essere evitata con misure economicamente sopportabili, almeno il 10%, temporaneo, tipo di contratto di lavoro).</w:t>
      </w:r>
    </w:p>
    <w:p>
      <w:r>
        <w:t>Nel caso di organizzazioni che rappresentano un misto di questi due casi estremi, ad esempio che cofinanziano il personale dei dipendenti con contratti o mandati più piccoli, occorre procedere ad una ponderazione degli interessi caso per caso.</w:t>
      </w:r>
    </w:p>
    <w:p>
      <w:r>
        <w:t>Caso di studio 1: Un'associazione musicale locale che si esibisce occasionalmente in festival comunitari, ma il cui reddito consiste principalmente in quote associative, donazioni, ecc. non subisce alcuna perdita di lavoro a causa della cancellazione di un festival comunitario, e il lavoro di un amministratore delegato impiegato su piccola scala non è minacciato. In questo caso la richiesta allILR deve essere respinta.</w:t>
      </w:r>
    </w:p>
    <w:p>
      <w:r>
        <w:t>Caso di studio 2: Un'orchestra musicale, organizzata anche come associazione che paga gli stipendi dei musicisti impiegati e di altro personale con il reddito delle sue esibizioni, subisce la perdita di ore lavorative a causa dell'annullamento delle esibizioni e del divieto di prove, e i posti di lavoro sono minacciati. In questo caso, il diritto allILR deve essere accettato se le altre condizioni sono soddisfatte.</w:t>
      </w:r>
    </w:p>
    <w:p>
      <w:r>
        <w:t>()</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 che ha sostituito la Direttiva 2021/01 del 20 gennaio 2021.</w:t>
      </w:r>
    </w:p>
    <w:p>
      <w:r>
        <w:t>Nella Direttiva 2021/06 del 19 marzo 2021 è stato, però, introdotto il nuovo p.to 2.2.c relativo alle aziende di nuova costituzione:</w:t>
      </w:r>
    </w:p>
    <w:p>
      <w:r>
        <w:t>Né la Direttiva 2021/06 del 20 aprile 2021 che ha sostituito quella del 19 marzo 2021, né la Direttiva 2021/13 del 30 giugno 2021 che ha sostituito la Direttiva del 20 aprile 2021 hanno apportato modifiche ai p.ti 2.1, 2.2, 2.2 c, 2.3, 2.6 e 2.6 a.</w:t>
      </w:r>
    </w:p>
    <w:p>
      <w:r>
        <w:t>Nella Direttiva 2021/16 Aggiornamento «Disposizioni speciali a causa della pandemia» del 1° ottobre 2021 che sostituisce la Direttiva 2021/13 del 30 giugno 2021 (cfr. https://www.arbeit.swiss/secoalv/it/home/service/publikationen/kreisschreiben---avig-praxis.html) al posto del punto 2.6 a è stato inserito il rinvio:</w:t>
      </w:r>
    </w:p>
    <w:p>
      <w:r>
        <w:t>"ÞVedi Direttiva 2021/14 Prassi LADI ILR D38 nuovo</w:t>
      </w:r>
    </w:p>
    <w:p>
      <w:r>
        <w:t>Questultimo punto della Prassi LADI ha integralmente ripreso il contenuto del punto 2.6 a appena riprodotto.</w:t>
      </w:r>
    </w:p>
    <w:p>
      <w:r>
        <w:t>2.4.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2.5.  Nella presente evenienza dalle carte processuali, in particolare dal suo Statuto, emerge che RI 1 è unassociazione ai sensi del Codice civile (art. 60 CC segg.) con sede a __________. E nata nel __________ con lo scopo, come indicato anche nelpreannuncio di lavoro ridotto del 12 marzo 2020 (cfr. consid. 1.1.),di raggruppare in ununica struttura __________ per partecipare alle varie competizioni nazionali __________.Dal mese di luglio 2020 lRI 1 ha in gestione anche la squadra __________.La medesima costituisce, pertanto, il settore __________ __________ delle squadre __________ e offre ai __________, a delle condizioni e in un ambiente ideali che possano favorire contemporaneamente una __________.</w:t>
      </w:r>
    </w:p>
    <w:p>
      <w:r>
        <w:t>ll __________, dalla stagione 2019/20, si occupa pure di organizzare e di gestire, in accordo con la __________ e con l__________, le squadre __________ (__________4) delle regioni __________ e __________ e dal 2021 sono state integrate 3 squadre __________ (__________) coinvolgendo così oltre __________ ragazzi/e e più di _________).</w:t>
      </w:r>
    </w:p>
    <w:p>
      <w:r>
        <w:t>RI 1 è riconosciuta dall__________ e da __________ (cfr. doc. 6/8).</w:t>
      </w:r>
    </w:p>
    <w:p>
      <w:r>
        <w:t>Lart. 4 dello Statuto, per quanto concerne i membri attivi, prevede che le società di __________ aventi sede nella regione di competenza della __________, e quelle di __________ autorizzate ad aver il __________ dall__________, secondo le disposizioni di questultima e della __________, sono membri attivi, la __________ ne ha facoltà (senza assoggettamento a obblighi contributivi). Altri membri che non hanno i requisiti appena indicati possono essere accettati solo con decisione unanime dei membri. L__________, il __________ e il __________, in quanto membri fondatori, hanno diritto a rimanere membri a condizione che non retrocedano sotto la __________.</w:t>
      </w:r>
    </w:p>
    <w:p>
      <w:r>
        <w:t>Laffiliazione all__________ avviene automaticamente con la promozione in __________, rispettivamente, per le società di __________, con lautorizzazione dell__________ ad avere il __________ __________, rispettivamente con la delibera unanime di tutti i membri (cfr. doc. 6/1).</w:t>
      </w:r>
    </w:p>
    <w:p>
      <w:r>
        <w:t>I mezzifinanziari sono garantiti principalmente dall'__________ e dai __________ costitutivi e firmatari della convenzione che regge il __________; un'altra importante fetta di finanziamento viene invece assicurata tramite la ricerca di sponsorizza).</w:t>
      </w:r>
    </w:p>
    <w:p>
      <w:r>
        <w:t>La quota annua a carico di un socio è pari a __________.-- se è in __________, a __________.-- se è in __________ e a fr. __________ se è in __________ (cfr. doc. 12D).</w:t>
      </w:r>
    </w:p>
    <w:p>
      <w:r>
        <w:t>Ne consegue che attualmente il __________ versa limporto di fr. __________ il __________ fr__________.-- e l__________ fr__________.-- (cfr. doc. I pag. 10).</w:t>
      </w:r>
    </w:p>
    <w:p>
      <w:r>
        <w:t>Per quanto attiene alle sponsorizzazioni, il __________, nel dicembre 2018, ha concluso un contratto con __________ per la pubblicità sulle __________ valido per le stagioni 2019/20, 2020/21 e 2021/22. Il prezzo è stato fissato in fr. __________-- annui da versare a inizio stagione (cfr. doc. 6/9).</w:t>
      </w:r>
    </w:p>
    <w:p>
      <w:r>
        <w:t>Le fonti di finanziamento complessive elencate dalla ricorrente (cfr. doc. 6/7; I pag. 10) sono in ogni caso le seguenti:</w:t>
      </w:r>
    </w:p>
    <w:p>
      <w:r>
        <w:t>Tasse sociali 15%</w:t>
      </w:r>
    </w:p>
    <w:p>
      <w:r>
        <w:t>Sponsorizzazioni 35%</w:t>
      </w:r>
    </w:p>
    <w:p>
      <w:r>
        <w:t>Contributo __________ + __________ 7%</w:t>
      </w:r>
    </w:p>
    <w:p>
      <w:r>
        <w:t>Contributo Soci 20%</w:t>
      </w:r>
    </w:p>
    <w:p>
      <w:r>
        <w:t>Altre attività 8%</w:t>
      </w:r>
    </w:p>
    <w:p>
      <w:r>
        <w:t>Per la stagione 2019/20 il contributo __________ attribuito allRI 1 ammontava a fr. __________--, oltre a una seconda rata che sarebbe stata corrisposta se giustificata (cfr. doc. 6/8).</w:t>
      </w:r>
    </w:p>
    <w:p>
      <w:r>
        <w:t>I dipendenti dellRI 1 svolgono essenzialmente le attività di allenatore, allenatore __________, preparatore fisico, fisioterapista, massaggiatore, segretario, direttore e responsabile tecnico (cfr. doc. 6/6).</w:t>
      </w:r>
    </w:p>
    <w:p>
      <w:r>
        <w:t>RI 1, il 12 marzo 2020, ha inoltrato alla Sezione del lavoro un preannuncio di lavoro ridotto a far tempo dal 10 marzo 2020 per tutta lazienda con una perdita di lavoro probabile del 100%, a seguito dellinterruzione delle varie attività sportive e della chiusura dei centri sportivi causata dal coronavirus (cfr. doc. 1; 1/4; 6/7; consid. 1.1.).</w:t>
      </w:r>
    </w:p>
    <w:p>
      <w:r>
        <w:t>La Sezione del lavoro, il 24 marzo 2020, ha riconosciuto il diritto allindennità per lavoro ridotto per il periodo 15 marzo - 10 giugno 2020 (cfr. doc. 2; consid. 1.2.).</w:t>
      </w:r>
    </w:p>
    <w:p>
      <w:r>
        <w:t>Il 4 maggio 2020 lamministrazione ha, poi, emesso una nuova decisione che ha annullato e sostituito la precedente, estendendo il diritto allILR dal 12 marzo all11 settembre 2020 (cfr. doc. 3; consid. 1.2.; 1.3.).</w:t>
      </w:r>
    </w:p>
    <w:p>
      <w:r>
        <w:t>La ricorrente, il 19 agosto 2020, ha presentato un ulteriore preannuncio di lavoro ridotto per il lasso di tempo 1° settembre - 31 dicembre 2020 relativo allintera azienda, e meglio a 46 dipendenti (18 con contratto di lavoro di durata indeterminata e 28 con contratto di impiego di durata determinata), con perdita di lavoro probabile del 60%, indicando quale causaPandemia COVID-19. Difficoltà nelladempiere a tutte le Restrizioni sanitarie imposte dallUFSP(cfr. doc. 4).</w:t>
      </w:r>
    </w:p>
    <w:p>
      <w:r>
        <w:t>Lamministrazione ha esperito degli accertamenti e il 18 dicembre 2020, da un lato, ha sollevato opposizione in relazione alla richiesta di ILR concernente il periodo dal 1° settembre al 31 dicembre 2020 (cfr. doc. 8; inc. 38.2021.50), dallaltro, ha riconsiderato la decisione del 4 maggio 2020, negando il diritto alle indennità per lavoro ridotto per larco di tempo dal 12 marzo al 31 agosto 2020 (cfr. doc. 7; consid. 1.3.).</w:t>
      </w:r>
    </w:p>
    <w:p>
      <w:r>
        <w:t>Con decisione su opposizione del 29 aprile 2021 la Sezione del lavoro ha confermato il proprio provvedimento del 18 dicembre 2020, rilevando segnatamente che in concreto la pandemia ha provocato delle minori uscite e quindi ha permesso di realizzare un utile. Lamministrazione ha sottolineato che una simile distorsione è proprio dovuta al fatto che l'RI 1 non svolge alcuna attività commerciale e che le sue entrate sono garantite a prescindere dal volume del lavoro svolto dai dipendenti annunciati in lavoro ridotto. Inoltre è stato evidenziato che per i dipendenti non vi era un rischio immediato di licenziamento (cfr. doc. B; consid. 1.5.).</w:t>
      </w:r>
    </w:p>
    <w:p>
      <w:r>
        <w:t>2.6.  Chiamata a pronunciarsi in merito alla fattispecie, questa Corte rileva innanzitutto che il Consiglio federale, fondandosi sugli art. 185 cpv. 3 Cost, 6 e 7 LEp, ha emanato una serie di ordinanze riguardanti provvedimenti per combattere il coronavirus.</w:t>
      </w:r>
    </w:p>
    <w:p>
      <w:r>
        <w:t>Con la prima ordinanza del 28 febbraio 2020 (Ordinanza 1 Covid-19; RU 2020 573) è stato vietato lo svolgimento in Svizzera di manifestazioni pubbliche o private cui fossero presenti oltre 1000 persone contemporaneamente (cfr. art. 2).</w:t>
      </w:r>
    </w:p>
    <w:p>
      <w:r>
        <w:t>Il 13 marzo 2020 il Consiglio federale ha emesso lOrdinanza 2 sui provvedimenti per combattere il coronavirus, entrata immediatamente in vigore (Ordinanza 2 Covid-19; RU 2020 773), con la quale ha stabilito ulteriori misure, in particolare nei confronti della popolazione, per ridurre il rischio di trasmissione e per combattere il coronavirus. Le attività presenziali in scuole, scuole universitarie e altri centri di formazione sono state vietate; è stato vietato lo svolgimento di manifestazioni pubbliche o private a cui siano presenti 100 o più persone contemporaneamente, tale limitazione è stata applicata anche alle strutture ricreative e per il tempo libero, segnatamente musei, centri sportivi, palestre, piscine e centri benessere; ai ristoranti e ai bar, nonché alle discoteche e ai locali notturni è stato consentito accogliere non più di 50 persone contemporaneamente, incluso il personale.</w:t>
      </w:r>
    </w:p>
    <w:p>
      <w:r>
        <w:t>Al riguardo è utile rilevare che con sentenza 2C_280/2020 del 15 aprile 2020, pubblicata in SVR 2020 AHV Nr. 14 pag. 41, il Tribunale federale ha stabilito che il controllo astratto della costituzionalità dellOrdinanza 2 COVID-19 è escluso dalla legge sul Tribunale federale (cfr. pure STF 2C_776/2020 del 23 settembre 2020).</w:t>
      </w:r>
    </w:p>
    <w:p>
      <w:r>
        <w:t>Nel Canton Ticino il Consiglio di Stato, nel frattempo, con risoluzionen. 1262dell11 marzo 2020 valida dal 12 marzo 2020, ha decretato lo stato di necessità sullintero territorio cantonale (art. 20 della Legge sulla protezione della popolazione - RL 500.100: Si ha stato di necessità quando, a seguito di catastrofi, conflitti armati o altre situazioni demergenza che comportano un pericolo imminente per lo Stato, le persone o le cose, non sia più possibile garantire con i mezzi ordinari lattività amministrativa o i servizi dinteresse pubblico e la protezione e lassistenza delle persone e delle cose a livello cantonale, regionale o locale.).Inoltre ha stabilito la chiusura di luoghi di intrattenimento, tra i quali centri sportivi, centri fitness e piscine e ha vietato le attività e gli eventi sportivi sia agonistici sia amatoriali di ogni genere e categoria, a prescindere dal numero di persone presenti. È stata unicamente consentita l'attività sportiva individuale, nel rispetto delle norme igieniche accresciute e di distanza sociale (cfr. doc. 1/6).</w:t>
      </w:r>
    </w:p>
    <w:p>
      <w:r>
        <w:t>Il 16 marzo 2020 il Consiglio federale ha decretato la situazione straordinaria ai sensi dellart. 7 LEp.</w:t>
      </w:r>
    </w:p>
    <w:p>
      <w:r>
        <w:t>LOrdinanza 2 COVID-19 è stata modificata il 16 marzo 2020 con effetto dal 17 marzo 2020 (RU 2020 783).</w:t>
      </w:r>
    </w:p>
    <w:p>
      <w:r>
        <w:t>In particolare giusta lart. 6 cpv. 1 e 2 concernente manifestazioni e strutture:</w:t>
      </w:r>
    </w:p>
    <w:p>
      <w:r>
        <w:t>"1È vietato lo svolgimento di manifestazioni pubbliche o private, incluse le manifestazioni sportive e le attività societarie.</w:t>
      </w:r>
    </w:p>
    <w:p>
      <w:r>
        <w:t>2Le strutture accessibili al pubblico sono chiuse, segnatamente:</w:t>
      </w:r>
    </w:p>
    <w:p>
      <w:r>
        <w:t>a.   negozi e mercati;</w:t>
      </w:r>
    </w:p>
    <w:p>
      <w:r>
        <w:t>b.   ristoranti;</w:t>
      </w:r>
    </w:p>
    <w:p>
      <w:r>
        <w:t>c.   bar, nonché discoteche, locali notturni ed erotici;</w:t>
      </w:r>
    </w:p>
    <w:p>
      <w:r>
        <w:t>d.   strutture ricreative e per il tempo libero, segnatamente musei, biblioteche, sale cinematografiche, sale per concerti, teatri, case da gioco, centri sportivi, palestre, piscine, centri benessere, stazioni sciistiche, giardini botanici e zoologici e parchi di animali;</w:t>
      </w:r>
    </w:p>
    <w:p>
      <w:r>
        <w:t>e.   strutture che offrono servizi alla persona con contatto corporeo quali parrucchieri, saloni di massaggio, studi di tatuaggio e centri estetici.</w:t>
      </w:r>
    </w:p>
    <w:p>
      <w:r>
        <w:t>Lart. 12 cpv. 6 Ordinanza 2 COVID-19 contempla lapplicazione dellart. 6 fino al 19 aprile 2020.</w:t>
      </w:r>
    </w:p>
    <w:p>
      <w:r>
        <w:t>Lart.</w:t>
      </w:r>
    </w:p>
    <w:p>
      <w:r>
        <w:rPr>
          <w:b/>
        </w:rPr>
        <w:t>E. 6</w:t>
      </w:r>
    </w:p>
    <w:p>
      <w:r>
        <w:t>cpv. 1 dellOrdinanza COVID-19 situazione particolare, la cui validità era stata prevista fino al 31 agosto 2020 (cfr. art. 15 cpv. 3), ha vietato le grandi manifestazioni con oltre 1000 visitatori o oltre 1000 partecipanti, salvo le eccezioni di cui al cpv. 4 riguardante le manifestazioni politiche e della società civile.</w:t>
      </w:r>
    </w:p>
    <w:p>
      <w:r>
        <w:t>LOrdinanza COVID-19 situazione particolare è stata regolarmente adattataa seconda della situazione epidemiologica (cfr. https://www.fedlex.admin.ch/eli/cc/2020/439/it/history).</w:t>
      </w:r>
    </w:p>
    <w:p>
      <w:r>
        <w:t>2.7.  In relazione alla domanda di indennità per lavoro ridotto inoltrata dallRI 1 il 12 marzo 2020 (cfr. doc. 1; consid. 1.1.), la Sezione del lavoro ha dapprima, il 24 marzo 2020, emesso una decisione con la quale ha riconosciuto il relativo diritto dal 15 marzo al 10 giugno 2020 (cfr. doc. 2; consid. 1.2.), poi esteso dal 12 marzo all11 settembre 2020 con decisione del 4 maggio 2020 (cfr. doc. 3; consid. 1.2.). Questultimo provvedimento è stato riconsiderato il 18 dicembre 2020 e il diritto è stato negato (cfr. doc. 7; consid. 1.3.).</w:t>
      </w:r>
    </w:p>
    <w:p>
      <w:r>
        <w:t>Lart. 53 LPGA, concernente la revisione e la riconsiderazione, prevede:</w:t>
      </w:r>
    </w:p>
    <w:p>
      <w:r>
        <w:t>"1Le decisioni e le decisioni su opposizione formalmente passate in giudicato devono essere sottoposte a revisione se lassicurato o lassicuratore scoprono successi­vamente nuovi fatti rilevanti o nuovi mezzi di prova che non potevano essere prodotti in precedenza.</w:t>
      </w:r>
    </w:p>
    <w:p>
      <w:r>
        <w:t>2Lassicuratore può tornare sulle decisioni o sulle decisioni su opposizione formalmente passate in giudicato se è provato che erano manifestamente errate e se la loro rettifica ha una notevole importanza.</w:t>
      </w:r>
    </w:p>
    <w:p>
      <w:r>
        <w:t>3Lassicuratore può riconsiderare una decisione o una decisione su opposizione, contro le quali è stato inoltrato ricorso, fino allinvio del suo preavviso allautorità di ricorso.</w:t>
      </w:r>
    </w:p>
    <w:p>
      <w:r>
        <w:t>Lart. 53 LPGA ha codificato la giurisprudenza anteriore alla sua entrata in vigore (cfr. DTF 133 V 50 consid. 4.1; STF U 408/06 del 25 giugno 2007; STF C 128/06 del 10 maggio 2007; STF K 147/03 del 12 marzo 2004; STF U 149/03 del 22 marzo 2004; STF I 133/04 dell'8 febbraio 2005).</w:t>
      </w:r>
    </w:p>
    <w:p>
      <w:r>
        <w:t>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STFA U 288/05 del 14 dicembre 2005 consid. 2; STFA U 378/05 del 10 maggio 2006 consid.5.2.; STFAU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STFA C 24/01 e C 137/01 del 28 aprile 2003; STFA C 44/02 del 6 giugno 2002 e DLA 2000 N. 40, pag. 208.</w:t>
      </w:r>
    </w:p>
    <w:p>
      <w:r>
        <w:t>2.8.  In concreto il TCA ricorda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2.3.) stabiliscono peraltro chiaramente chesia la pandemia stessa, sia la perdita di lavoro ad essa associata devono essere considerate temporanee.</w:t>
      </w:r>
    </w:p>
    <w:p>
      <w:r>
        <w:t>Nel caso di specie, come indicato dallamministrazione, non si è confrontati con unazienda privata commerciale nel vero senso del termine (cfr. STCA 38.2021.35 del 4 ottobre 2021 consid. 2.7.; STCA 38.2021.64 dell8 novembre 2021 consid. 2.8.).</w:t>
      </w:r>
    </w:p>
    <w:p>
      <w:r>
        <w:t>In effetti RI 1 è unassociazione ai sensi degli art. 60 CC e segg. il cui scopo è il raggruppamento in __________ __________ della regione di competenza della __________ chepartecipano alle varie competizioni nazionali __________ e dal mese di luglio 2020 __________.</w:t>
      </w:r>
    </w:p>
    <w:p>
      <w:r>
        <w:t>Inoltre dalla stagione 2019/20 RI 1 si occupa pure dellorganizzazione e della gestione delle squadre __________ (__________) delle regioni __________ e __________ e dal 2021 sono state integrate 3 squadre ______; consid. 2.5.).</w:t>
      </w:r>
    </w:p>
    <w:p>
      <w:r>
        <w:t>I lavoratori delle organizzazioni non commerciali, quali le associazioni,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2.3.).</w:t>
      </w:r>
    </w:p>
    <w:p>
      <w:r>
        <w:t>La giurisprudenza federale ha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w:t>
      </w:r>
    </w:p>
    <w:p>
      <w:r>
        <w:t>Il Consiglio federale ha osservato:</w:t>
      </w:r>
    </w:p>
    <w:p>
      <w:r>
        <w:t>"Lo scopo principale dell'ILR è salvaguardare i posti di lavoro, ovvero evitare i licenziamenti a breve termine in caso di calo temporaneo della domanda di beni e servizi e di conseguenti perdite di lavoro.</w:t>
      </w:r>
    </w:p>
    <w:p>
      <w:r>
        <w:t>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w:t>
      </w:r>
    </w:p>
    <w:p>
      <w:r>
        <w:t>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w:t>
      </w:r>
    </w:p>
    <w:p>
      <w:r>
        <w:t>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w:t>
      </w:r>
    </w:p>
    <w:p>
      <w:r>
        <w:t>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w:t>
      </w:r>
    </w:p>
    <w:p>
      <w:r>
        <w:t>(cfr. https://www.parlament.ch/it/ratsbetrieb/suche-curia-vista/-geschaeft?AffairId=20203540)</w:t>
      </w:r>
    </w:p>
    <w:p>
      <w:r>
        <w:t>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w:t>
      </w:r>
    </w:p>
    <w:p>
      <w:r>
        <w:t>È invece stata lasciata aperta la questione di sapere se il diritto allindennità doveva essere negato anche perché eventuali deficit dellazienda sarebbero stati comunque coperti attraverso fondi pubblici (cfr.D. Cattaneo, COVID-19: les premiers arrêts du Tribunal des assurances du canton du Tessin, in: Assurances sociales et pandémie de Covid-19 a cura di Sylvie Pétremand, Ed. Stämpfli, 2021, pag. 181  209 (193)).</w:t>
      </w:r>
    </w:p>
    <w:p>
      <w:r>
        <w:t>La medesima soluzione è stata adottata da questa Corte in due sentenze 38.2021.31 e 38.2021.37 del 30 agosto 2021 relative ad unaltra corporazione di diritto pubblico.</w:t>
      </w:r>
    </w:p>
    <w:p>
      <w:r>
        <w:t>Il TCA è arrivato alla stessa conclusione in una sentenza 38.2021.9 del 18 maggio 2021, pure cresciuta incontestata in giudicato, a proposito di una società che non era unazienda privata nel vero senso del termine.</w:t>
      </w:r>
    </w:p>
    <w:p>
      <w:r>
        <w:t>Per lunico dipendente non esisteva un effettivo rischio di licenziamento a breve termine e la perdita di lavoro faceva comunque parte del normale rischio aziendale.</w:t>
      </w:r>
    </w:p>
    <w:p>
      <w:r>
        <w:t>Va, altresì, evidenziato che nel Messaggio concernente la Legge federale sulle basi legali delle ordinanze del Consiglio federale volte a far fronte allepidemia di COVID-19 (legge COVID 19) del 12 agosto 2020 il Consiglio federale al punto 2.3.8 ha sottolineato che:</w:t>
      </w:r>
    </w:p>
    <w:p>
      <w:r>
        <w:t>"In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w:t>
      </w:r>
    </w:p>
    <w:p>
      <w:r>
        <w:t>Tale principio è stato ricordato dal Tribunale federale in una sentenza 8C_17/2021 del 20 maggio 2021 consid. 4.6.3, di cui è prevista la pubblicazione nella Raccolta ufficiale.</w:t>
      </w:r>
    </w:p>
    <w:p>
      <w:r>
        <w:t>Infine questo Tribunale, in riferimento allasserzione della parte resistente relativa al nuovo settore __________ che la ricorrente gestiva dal luglio 2020 secondo cuianche aziende commerciali nuove o settori di esse, costituiti durante la pandemia senza poter dimostrare un adeguato periodo desercizio in piena autonomia, non possono essere ammessi al lavoro ridotto(cfr. doc. B pag. 6), ritiene in ogni caso utile rilevare che la perdita di lavoro di unazienda costituita durante la pandemia è computabile se è dovuta a provvedimenti adottati dalle autorità, quali gli ordini di chiusura, a meno che si sia confrontati con un abuso di diritto (cfr. consid. 2.3.; STCA 38.2021.32 del 13 settembre 2021 consid. 2.6.).</w:t>
      </w:r>
    </w:p>
    <w:p>
      <w:r>
        <w:t>2.9.  Nel caso di specie RI 1, nel 2020, ha continuato a gestire le squadre __________ (__________) delle regioni __________ e __________ di cui aveva iniziato a occuparsi proprio nella stagione 2019/20 (cfr. consid. 2.5.).</w:t>
      </w:r>
    </w:p>
    <w:p>
      <w:r>
        <w:t>Inoltre, come visto, linsorgente dal luglio 2020, ossia in un periodo in cui in ogni caso in Svizzera vigeva la situazione particolare secondo la legge sulle epidemie (cfr. art. 6 LEp; Ordinanza COVID-19 situazione particolare del 19 giugno 2020</w:t>
      </w:r>
    </w:p>
    <w:p>
      <w:r>
        <w:t>2.10.  Ad ogni modo RI 1, nel lasso di tempo dal 12 marzo al 31 agosto 2020, non aveva diritto a indennità per lavoro ridotto anche prescindendo dalla sussistenza o meno di una perdita di lavoro computabile. In effetti decisiva in casu è linesistenza per i propri dipendenti di un effettivo e immediato rischio di licenziamento (cfr. cfr. art. 31 cpv. 1 lett. d LADI; consid. 2.2.).</w:t>
      </w:r>
    </w:p>
    <w:p>
      <w:r>
        <w:t>Questo Tribunale ritiene che non solo i dipendenti non erano esposti al rischio concreto e immediato di licenziamento, ma nemmeno lesistenza stessa dellRI 1 era minacciata, considerato, da un lato, linteresse dei __________ (__________, __________, __________) ad assicurarne, ai fini segnatamente del mantenimento delle loro __________, la continuazione dellattività. Dallaltro, il finanziamento dellinsorgente che è garantitoprincipalmente dall'__________, dai tre __________, dalle sponsorizzazioni pubbliche e private (ad esempio __________; cfr. consid. 2.5.; 1.5.).</w:t>
      </w:r>
    </w:p>
    <w:p>
      <w:r>
        <w:t>In secondo luogo, sul principio delluguaglianza nellillegalità il Tribunale federale, in una sentenza 8C_338/2007 del 4 agosto 2008, ha sviluppato le seguenti considerazioni:</w:t>
      </w:r>
    </w:p>
    <w:p>
      <w:r>
        <w:t>"()</w:t>
      </w:r>
    </w:p>
    <w:p>
      <w:r>
        <w:t>2.</w:t>
      </w:r>
    </w:p>
    <w:p>
      <w:r>
        <w:t>In concreto la Corte cantonale ha in primo luogo stabilito che la qui opponente non adempiva i presupposti legali per il riconoscimento di prestazioni assicurative in relazione alla frequentazione del corso di collaboratrice sanitaria X.________. Questa conclusione è corretta e incontestata. Controversa è per contro la deduzione del primo giudice, secondo cui sarebbero soddisfatte le condizioni poste dalla giurisprudenza per beneficiare del diritto all'uguaglianza nell'illegalità.</w:t>
      </w:r>
    </w:p>
    <w:p>
      <w:r>
        <w:t>3.</w:t>
      </w:r>
    </w:p>
    <w:p>
      <w:r>
        <w:t>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(DTF 131 V 9consid. 3.7 pag. 20;126 V 390consid. 6a pag. 392;122 II 446consid. 4a pag. 451, con riferimenti di giurisprudenza e dottrina).</w:t>
      </w:r>
    </w:p>
    <w:p>
      <w:r>
        <w:t>4.</w:t>
      </w:r>
    </w:p>
    <w:p>
      <w:r>
        <w:t>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w:t>
      </w:r>
    </w:p>
    <w:p>
      <w:r>
        <w:t>Su questo tema cfr. pure; DTF 139 II 49; DTF 136 I 65; DTF 134 V 34; STF 9C_648/2019 del 16 dicembre 2019 consid. 5.3.; STF 8C_348/2017 del 5 luglio 2017; STF 9C_561/2016 del 27 marzo 2017; STF 9C_530/2015 del 28 settembre 2015; STF 9C_648/2014 del 3 marzo 2015; STF C 44/00 del 31 luglio 2003; STF K 133/01 del 20 gennaio 2003; STCA 42.2020.15 del 22 febbraio 2021 consid. 2.10.; STCA 38.2017.84 del 20 febbraio 2018 consid. 2.6.</w:t>
      </w:r>
    </w:p>
    <w:p>
      <w:r>
        <w:t>Nella presente fattispecie non è dato di sapere se la situazione della ricorrente sia effettivamente paragonabile a quella di altre associazioni attive con il medesimo scopo. Ad ogni modo non risulta che in Svizzera  anche volendo prescindere dal principio secondo cui la parità di trattamento ha unimportanza limitata sul piano intercantonale  sia stata introdotta una prassi generalizzata contraria alla legge.</w:t>
      </w:r>
    </w:p>
    <w:p>
      <w:r>
        <w:t>La censura di disparità di trattamento formulata dallinsorgente non può, dunque, essere accolta.</w:t>
      </w:r>
    </w:p>
    <w:p>
      <w:r>
        <w:t>Di conseguenza la decisione su opposizione del 29 aprile 2021 deve essere confermata.</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31 maggio 2021, per cui torna applicabile la nuova disposizione legale. Trattandosi di prestazioni LADI, il legislatore non ha previsto di prelevare le spese (cfr. STCA 38.2020.43-44 del 13 settembre 2021 consid.2.12.;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