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38.2021.32 vom 13. September 2021</w:t>
      </w:r>
    </w:p>
    <w:p>
      <w:r>
        <w:t>TI Tribunale d'appello, 2021-09-13, IT</w:t>
      </w:r>
    </w:p>
    <w:p>
      <w:r>
        <w:rPr>
          <w:b/>
        </w:rPr>
        <w:t xml:space="preserve">Quelle: </w:t>
      </w:r>
      <w:r>
        <w:t>https://mcp.opencaselaw.ch/entscheid/ti_gerichte_38.2021.32</w:t>
      </w:r>
    </w:p>
    <w:p>
      <w:r>
        <w:t>FR: TI_GERICHTE 38.2021.32 du 13 septembre 2021</w:t>
      </w:r>
    </w:p>
    <w:p>
      <w:r>
        <w:t>IT: TI_GERICHTE 38.2021.32 del 13 settembre 2021</w:t>
      </w:r>
    </w:p>
    <w:p>
      <w:pPr>
        <w:pStyle w:val="Heading2"/>
      </w:pPr>
      <w:r>
        <w:t>Regeste</w:t>
      </w:r>
    </w:p>
    <w:p>
      <w:r>
        <w:t>Riconosciuto a società costituita il 7/'20 (inizio 17.10.20) - che ha dovuto limitare orari apertura da 12.12.20 e cessare attività da 22.12.20 a causa di misure per combattere Coronavirus - diritto a ILR (per principio) pure a 2 dipendenti (pulizie e funz.dirigenz.) che dovevano iniziare il 1.1.21</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2.2.   Nella Prassi LADI ILR, la Segretaria di Stato delleconomia (in seguito: SECO) ha stabilito che:</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Nella Direttiva 2020/15: Aggiornamento «Disposizioni speciali a causa della pandemia» del 30 ottobre 2020, che sostituisce la Direttiva 2020/12 del 27 agosto 2020,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Nella Direttiva 2021/06 del 19 marzo 2021 che ha sostituito la Direttiva del 20 gennaio 2021 è stato introdotto il nuovo p.to 2.2.c relativo alle aziende di nuova costituzione:</w:t>
      </w:r>
    </w:p>
    <w:p>
      <w:r>
        <w:t>Né la Direttiva 2021/06 del 20 aprile 2021 che ha sostituito quella del 19 marzo 2021, né la Direttiva 2021/13 del 30 giugno 2021 che sostituisce la Direttiva del 20 aprile 2021 (cfr. https://www.arbeit.swiss/secoalv/it/home/service/publikationen/kreisschreiben---avig-praxis.html) hanno apportato modifiche ai p.ti 2.1, 2.2, 2.2 c e 2.3.</w:t>
      </w:r>
    </w:p>
    <w:p>
      <w:r>
        <w:t>2.3.   Ledirettive amministrative- come la Prassi LADI emanata dalla SECO -non costituiscono norme giuridiche e non sono vincolanti per il giudice delle assicurazioni sociali (cfr.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2.4.Nella presente evenienza dalle carte processuali emerge che la società RI 1 è stata iscritta a Registro di commercio il 23 luglio 2020. Dallestratto RC risulta il seguente scopo:</w:t>
      </w:r>
    </w:p>
    <w:p>
      <w:r>
        <w:t>La RI 1, il 9 dicembre 2020, ha inoltrato alla Sezione del lavoro un preannuncio di lavoro ridotto per il periodo 19 dicembre 2020  19 marzo 2021 per tutta lazienda. La richiesta è stata motivata con La decisione del Consiglio federale che prevede la chiusura serale e domenicale dei ristoranti(cfr. doc. 1).</w:t>
      </w:r>
    </w:p>
    <w:p>
      <w:r>
        <w:t>L11 dicembre 2020 il Consiglio federale ha varato nuove restrizioni per le manifestazioni e per gli orari di apertura di ristoranti e altre strutture accessibili al pubblico.</w:t>
      </w:r>
    </w:p>
    <w:p>
      <w:r>
        <w:t>2.6.   In relazione alla domanda di indennità per lavoro ridotto inoltrata dalla RI 1, il TCA ricorda avantutto, da un lato,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2.2.) stabiliscono peraltro chiaramente che sia la pandemia stessa, sia la perdita di lavoro ad essa associata devono essere considerate temporanee.</w:t>
      </w:r>
    </w:p>
    <w:p>
      <w:r>
        <w:t>Infine va sottolineato che per beneficiare dellindennità per lavoro ridotto non si esige una durata minima di contribuzione allassicurazione contro la disoccupazione (cfr. SECO, Prassi LADI ILR n. B24: In linea di principio, tutti i lavoratori colpiti dal lavoro ridotto hanno diritto all'indennità per lavoro ridotto se sono soggetti all'obbligo di versare i contributi all'AD o se non hanno ancora raggiunto l'età minima di contribuzione all'AVS. Determinante è quindi la nozione di lavoratore ai sensi della legislazione sull'AVS. Non è invece previsto un periodo minimo di contribuzione; è sufficiente che il lavoratore sia vincolato da un rapporto di lavoro e che eserciti un'attività soggetta a contribuzione all'inizio e durante il periodo di lavoro ridotto. Anche i lavoratori stranieri hanno quindi diritto all'indennità, indipendentemente dal loro luogo di domicilio e dal loro statuto di soggiorno. I frontalieri stranieri, ad esempio, hanno diritto allILR dal primo giorno in cui esercitano unattività soggetta al versamento di contributi allAD se adempiono gli altri presupposti del diritto allindennità.).</w:t>
      </w:r>
    </w:p>
    <w:p>
      <w:r>
        <w:t>2.11.Lart.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12 maggio 2021,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