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38.2020.8 vom 2. Juni 2020</w:t>
      </w:r>
    </w:p>
    <w:p>
      <w:r>
        <w:t>TI Tribunale d'appello, 2020-06-02, IT</w:t>
      </w:r>
    </w:p>
    <w:p>
      <w:r>
        <w:rPr>
          <w:b/>
        </w:rPr>
        <w:t xml:space="preserve">Quelle: </w:t>
      </w:r>
      <w:r>
        <w:t>https://mcp.opencaselaw.ch/entscheid/ti_gerichte_38.2020.8</w:t>
      </w:r>
    </w:p>
    <w:p>
      <w:r>
        <w:t>FR: TI_GERICHTE 38.2020.8 du 2 juin 2020</w:t>
      </w:r>
    </w:p>
    <w:p>
      <w:r>
        <w:t>IT: TI_GERICHTE 38.2020.8 del 2 giugno 2020</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È pertanto decisivo il comportamento dell’assicurato. L’idoneità al collocamento che è stata negata può quindi essere nuovamente ottenuta se l’assicurato modifica radicalmente il suo comportamento e non solo se accetta di partecipare a un provvedimento isolato. È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Schulthess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w:t>
      </w:r>
    </w:p>
    <w:p>
      <w:r>
        <w:rPr>
          <w:b/>
        </w:rPr>
        <w:t>E. 18</w:t>
      </w:r>
    </w:p>
    <w:p>
      <w:r>
        <w:t>novembre 2013 consid. 3.2.; DTF 127 V 484 consid. 2a).</w:t>
      </w:r>
    </w:p>
    <w:p>
      <w:r>
        <w:t>In una sentenza 8C_242/2019 del 5 marzo 2020 nella quale ha confermato lidoneità al collocamento, dal profilo soggettivo, di un assicurato che presentava problemi di salute ed aveva inoltrato una domanda di prestazioni allAI, il Tribunale federale ha rilevato al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