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38.2020.51 vom 25. Januar 2021</w:t>
      </w:r>
    </w:p>
    <w:p>
      <w:r>
        <w:t>TI Tribunale d'appello, 2021-01-25, IT</w:t>
      </w:r>
    </w:p>
    <w:p>
      <w:r>
        <w:rPr>
          <w:b/>
        </w:rPr>
        <w:t xml:space="preserve">Quelle: </w:t>
      </w:r>
      <w:r>
        <w:t>https://mcp.opencaselaw.ch/entscheid/ti_gerichte_38.2020.51</w:t>
      </w:r>
    </w:p>
    <w:p>
      <w:r>
        <w:t>FR: TI_GERICHTE 38.2020.51 du 25 janvier 2021</w:t>
      </w:r>
    </w:p>
    <w:p>
      <w:r>
        <w:t>IT: TI_GERICHTE 38.2020.51 del 25 gennaio 2021</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Inoltre giusta lart. 3 cpv. 1 LAG lassistenza giudiziaria si estende allesenzione dagli anticipi e dalle cauzioni, allesenzione dalle tasse e spese processuali ed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pubblicatanella Raccolta ufficiale delle sentenze del Tribunale federale, nel sitowww.bger.ch, rispettivamentewww.sentenze.ti.ch, nonchénella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dalla documentazione agli atti emergeva che, almeno il presupposto del centro degli interessi personali in Svizzera non era adempiuto.</w:t>
      </w:r>
    </w:p>
    <w:p>
      <w:r>
        <w:t>Di primo acchito, dunque, si doveva concludere che il procedimento non aveva probabilità di esito favorevole (cfr. DTF 125 II 265 consid. 4c; STCA 38.2014.54 del 2 dicembre 2015;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rPr>
          <w:b/>
        </w:rPr>
        <w:t>E. 24</w:t>
      </w:r>
    </w:p>
    <w:p>
      <w:r>
        <w:t>È membro di associazioni senza scopo di lucro, società o altri enti in Svizzera o all’estero? Quali? Ho contribuito all’associazione __________ di __________ che promuove la diffusione della danza __________, danza __________ ed altri progetti culturali. Sono inoltre donatrice di sangue presso l’Ospedale __________ di __________. (…). 30. Ha un veicolo? Quale? In caso affermativo tale veicolo in quale paese è immatricolato? Sì, un’auto di 10 anni. Il veicolo è immatricolato in Italia e resta in Italia a disposizione dei miei genitori. (…) ha targa estera.” (cfr. pag. 251-253) Sempre nell’ambito della verifica dell’idoneità, la Cassa, il 21 aprile 2020, ha chiesto alla ricorrente di precisare in quali giorni si era recata presso il domicilio dei genitori nel corso degli ultimi 12 mesi, se in occasione delle visite in questione pernottava presso i medesimi, quale mezzo di trasporto aveva utilizzato e per quale motivo la sua iscrizione all’AIRE è stata effettuata unicamente a decorrere da 21 marzo 2019 (cfr. pag. 248-249). Dalle risposte fornite in data 2 maggio 2020 emerge che: " (…) A seguito dell’emergenza COVID-19, negli ultimi mesi non sono andata a Milano da genitori, parenti ed amici nel rispetto delle disposizioni d’emergenza vigenti. Premesso questo, ecco tutte le date in cui sono scesa (solitamente scendevo nel weekend, non tutte le settimane. Ho riportato le date in cui, secondo la mia ricostruzione, sono rientrata negli ultimi 12 mesi). Nei mesi di gennaio e di febbraio 2020 non sono scesa a __________ in quanto sono stata impegnata con il nuovo lavoro (ero infatti nel periodo di prova e le mie energie erano tutte concentrate su questo fronte). Dicembre 2019 6/12 per la festa dell’Immacolata 24/12-28/12 per celebrare il S. Natale in famiglia Novembre 2019 09/11 per il compleanno di mio padre 16/11 per rivedere amici e parenti e festeggiare il cambio lavorativo 30/11 per rivedere amici e festeggiare il cambio lavorativo Ottobre 2019 5/10 per il compleanno di mio fratello Settembre 2019 07/09 pe rivedere la famiglia dopo il periodo estivo 14/09 per rivedere amici dopo l’estate 21/09 per il compleanno dell’altro mio fratello 29/09 per rivedere amici dopo l’estate Agosto 2019 10/08 Partenza per le vacanze Luglio 2019 12/07 per rivedere amici e parenti prima dell’estate 20/07 per rivedere amici prima dell’estate Giugno 2019 08/06 per rivedere amici e parenti prima dell’estate 22/06 per rivedere amici prima dell’estate Maggio 2019 01/05 per festeggiare la festa del lavoro Aprile 2019 26/04 per festeggiare il mio compleanno in famiglia 2. Quando mi reco presso l’abitazione dei miei genitori capita che mi fermo a dormire, altre volte vado e torno in giornata. 3. Ho usufruito di passaggi e viaggi in treno, di cui non ho conservato i biglietti o ricevute perché non ho immaginato potessero servire, ho solo l’abbonamento del treno Metà prezzo del 2020 di cui già vi ho inviato una copia nella precedente email. 4. Mi trovavo in quel momento molto impegnata con il nuovo lavoro e non ero al corrente della necessità di fare questa iscrizione all’AIRE, appena ho appreso di dovermi iscrivere l’ho fatto. (…)” (cfr. pag. 237-238) 2.5.   Chiamata a pronunciarsi in merito alla fattispecie questa Corte evidenzia preliminarmente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8C_483/2017 del 3 novembre 2017; STF 8C_186/2017 del 1° settembre 2017 consid. 5.2. = RtiD I-2018 N. 61 pag. 281; STF 8C_244/2017 del 24 aprile 2017; DTF 121 V 45 consid. 2a pag. 47). L’Alta Corte, in una sentenza 8C_186/2017 del 1° settembre 2017, ha ribadito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In una sentenza 9C_ 664/2018 del 26 novembre 2018 consid. 6 il TF ha poi specificato che, in effetti, le nuove spiegazioni possono, consapevolmente o meno, essere il frutto di ulteriori riflessioni. In concreto,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Cassa ha ritenuto che la ricorrente non avesse in Svizzera il centro delle proprie relazioni di vita. L’insorgente non ha, infatti, innanzitutto, concretizzato un legame con il Ticino, tale da poterlo considerare il luogo in cui si trova, utilizzando dei criteri oggettivi, la sua residenza ai sensi della giurisprudenza federale (cfr. consid. 2.3.),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Nel presente caso, nel periodo determinante, il centro delle relazioni personali dell’insorgente risultava essere in Italia, e meglio a __________. Nel capoluogo lombardo vive, infatti, la famiglia della ricorrente (nubile e senza figli), segnatamente i suoi genitori, presso i quali ella inizialmente ha dichiarato di recarsi “ una volta circa a settimana ” e meglio “ circa tre o quattro volte al mese ” e dove, in occasione delle visite, pernottava (cfr. pag. 252, domande n. 11., 12. e 16; STF 8C_186/2017 del 1° settembre 2017). Il TCA non ignora che RI 1 successivamente, e meglio con e-mail del 2 maggio 2020 ha indicato quanto segue: " 1. A seguito dell’emergenza COVID-19, negli ultimi mesi non sono andata a Milano da genitori, parenti ed amici nel rispetto delle disposizioni d’emergenza vigenti.”, enumerando, poi, tutte le singole occasioni in cui si sarebbe recata nel capoluogo lombardo e precisando, a differenza di quanto comunicato in precedenza, che “ Quando mi reco presso l’abitazione dei miei genitori capita che mi fermo a dormire, altre volte vado e torno in giornata.” (cfr. pag. 237-238). Tale dichiarazione è, tuttavia, stata rilasciata dopo essere stata messa al corrente dall’amministrazione che occorrevano “ un ulteriore complemento d’informazioni ” ed “ ulteriori accertamenti sia per l’idoneità al collocamento (art. 15 LADI) sia per la residenza in Svizzera (art. 12 LADI) ” (cfr. pag. 248-249). In concreto si rileva, a mero titolo abbondanziale, che dalla documentazione bancaria, trasmessa alla Cassa dalla ricorrente, risulta che RI 1 si trovava in Italia anche in altre occasioni, rispetto a quelle enumerate con e-mail del 2 maggio 2020 (cfr. pag. 290 - 322). Ne discende che, in virtù del principio della priorità della dichiarazione della prima ora esposto sopra, la ricorrente una volta alla settimana si recava in Italia a trovare la propria famiglia. Dagli atti emerge, poi, che a differenza di quanto comunicato alla Cassa, il veicolo intestato alla ricorrente (targato __________ e mai sdoganato, cfr. pag. 263), non è rimasto in Italia, bensì è stato utilizzato su suolo elvetico e meglio come dimostra la multa in cui la medesima è incappata e che ha pagato il 18 aprile 2019 (cfr. pag. 283). Ella ha, inoltre, corrisposto l’ammontare di fr. 250.- cadauna - il</w:t>
      </w:r>
    </w:p>
    <w:p>
      <w:r>
        <w:rPr>
          <w:b/>
        </w:rPr>
        <w:t>E. 27</w:t>
      </w:r>
    </w:p>
    <w:p>
      <w:r>
        <w:t>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Italia. vivevano nella casa di proprietà dei genitori sua moglie e due figli che in quel Paese pure studiavano.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una società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2.8.   Nella presente fattispecie l’insorgente, come visto (cfr. supra consid. 2.4.), ha inizialmente comunicato alla Cassa che rientrava in Italia, segnatamente presso i propri genitori, dove, poi, pernottava, nella misura di tre o quattro volte al mese. Con risposta alla Cassa del 2 maggio 2020, la ricorrente, contrariamente a quanto sostenuto in sede ricorsuale (cfr. doc. I, pag. 7) non si è limitata a precisare le proprie precedenti dichiarazioni nel senso dei riferiti rientri settimanali in Italia, in occasione dei quali pernottava presso i genitori. Ella ha, a ben vedere, modificato la propria precedente versione, riconoscendo, in sostanza di essersi recata presso familiari ed amici sole 17 volte nel giro dell’ultimo anno, viaggiando principalmente su rotaia. Tale versione, però, non solo non trova riscontro agli atti, ma è, come anticipato (cfr. supra consid. 2.5.), anzi almeno parzialmente contraddetta dalla documentazione bancaria prodotta dalla ricorrente medesima. Pertanto, in virtù del principio della priorità della dichiarazione della prima ora (cfr. consid. 2.5.), le risposte che insorgente ha trasmesso alla Cassa, poco dopo l’iscrizione in disoccupazione quando non era ancora cosciente delle relative conseguenze giuridiche, secondo cui rientrava dalla propria famiglia tre o quattro volte al mese, hanno un’importanza decisiva, rispetto a quelle rilasciate in seguito. Di conseguenza, dal profilo del diritto internazionale, l’insorgente deve essere considerata una frontaliera vera, per cui ha diritto alle prestazioni di disoccupazione in Italia. 2.9.   Per quanto attiene all’indicazione ricorsuale di cui alle pag. 14-15 del ricorso, laddove l’insorgente, tra i mezzi di prova, indica “Audizione della ricorrente” (cfr. doc. I, pag. 14-15), va evidenziato che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indicato la propria audizione tra i mezzi di prova. La medesima ha, quindi, chiesto l’assunzione di una nuova prova. Inoltre, in ossequio dell’art. 29 cpv. 2 Cost, l’insorgente ha potuto far valere le proprie argomentazioni per iscritto (cfr. STF 8C_550/2017 del 12 gennaio 2018).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della ricorrente non potrebbe mettere in luce nuovi elementi concreti ai fini della risoluzione della vertenza. La richiesta di assunzione di prove dell’insorgente deve, dunque, essere respinta. 2.10.   Deve ancora essere verificato se la ricorrente può essere posta al beneficio dell’assistenza giudiziaria con il gratuito patrocinio dell’avv. RA 1 (cfr. doc. I).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ed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e della giurisprudenza pubblicata nella Raccolta ufficiale delle sentenze del Tribunale federale,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documentazione agli atti emergeva che, almeno il presupposto del centro degli interessi personali in Svizzera non era adempiuto. Di primo acchito, dunque, si doveva concludere che il procedimento non aveva probabilità di esito favorevole (cfr. DTF 125 II 265 consid. 4c; STCA 38.2014.54 del 2 dicembre 2015;  STCA 38.2007.100 del 25 febbraio 2008; STCA 35.2002.12 del 21 maggio 2002; STCA 35.2002.32 del 9 luglio 2002). In simili condizioni, non essendo realizzato nel caso in esame uno dei tre presupposti cumulativi, la domanda di gratuito patrocinio deve essere respinta. 2.11.   La decisione su opposizione del 24 luglio 2020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