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38.2020.49 vom 1. Februar 2021</w:t>
      </w:r>
    </w:p>
    <w:p>
      <w:r>
        <w:t>TI Tribunale d'appello, 2021-02-01, IT</w:t>
      </w:r>
    </w:p>
    <w:p>
      <w:r>
        <w:rPr>
          <w:b/>
        </w:rPr>
        <w:t xml:space="preserve">Quelle: </w:t>
      </w:r>
      <w:r>
        <w:t>https://mcp.opencaselaw.ch/entscheid/ti_gerichte_38.2020.49_d20210201</w:t>
      </w:r>
    </w:p>
    <w:p>
      <w:r>
        <w:t>FR: TI_GERICHTE 38.2020.49 du 1 février 2021</w:t>
      </w:r>
    </w:p>
    <w:p>
      <w:r>
        <w:t>IT: TI_GERICHTE 38.2020.49 del 1 febbraio 2021</w:t>
      </w:r>
    </w:p>
    <w:p>
      <w:pPr>
        <w:pStyle w:val="Heading2"/>
      </w:pPr>
      <w:r>
        <w:t>Regeste</w:t>
      </w:r>
    </w:p>
    <w:p>
      <w:r>
        <w:t>Negate ID. Residenza ex art. 8 cpv.1 lett. c LADI non in CH: centro relaz. pers. in Italia dove vive moglie. In CH, dove è ospitato presso amici, ha solo una resid. secondaria. Secondo dt internazionale è vero frontaliere. Escluso falso frontaliere</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ed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pubblicatanella Raccolta ufficiale delle sentenze del Tribunale federale, nel sitowww.bger.ch, rispettivamentewww.sentenze.ti.ch, nonchénella Rivista ticinese di diritto (RtiD),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documentazione agli atti emergeva che, almeno il presupposto del centro degli interessi personali in Svizzera non era adempiuto.</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3</w:t>
      </w:r>
    </w:p>
    <w:p>
      <w:r>
        <w:t>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Italia vivevano - nella casa di proprietà dei genitori - sua moglie e due figli che in quel Paese pure studiavano.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l’insorgente, come visto (cfr. supra consid. 2.3.), ha comunicato alla Sezione del lavoro che, da quando le due vi si erano trasferite, vale a dire da inizio dicembre 2019, durante i fine settimana, si recava in Italia, raggiungendo la propria moglie e la propria madre. Egli è, come pure già rilevato, poi rimasto stabilmente, o comunque regolarmente rientrato in Italia, e meglio da fine gennaio-febbraio 2020 sino al 4 giugno 2020, data a decorrere dalla quale li suo centro di interessi personali è rimasto, al pari della di lui moglie, in Italia. Ciò quanto meno sino al 31 agosto 2020, data a decorrere dalla quale ha preso fine il contratto di locazione dell’abitazione di __________. Di conseguenza, dal profilo del diritto internazionale, l’insorgente deve essere considerato un frontaliere vero, per cui non ha diritto alle prestazioni di disoccupazione in Svizzera. 2.8.   Deve ancora essere verificato se il ricorrente può essere posto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ed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(RtiD),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 2.9.   La decisione su opposizione impugnata (sebbene, e meglio come già rilevato dalla Sezione del lavoro, “ vi sarebbe invero margine per una reformatio in peius ”; cfr. doc. 25, pag. 7) è,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