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38.2020.27 vom 24. September 2020</w:t>
      </w:r>
    </w:p>
    <w:p>
      <w:r>
        <w:t>TI Tribunale d'appello, 2020-09-24, IT</w:t>
      </w:r>
    </w:p>
    <w:p>
      <w:r>
        <w:rPr>
          <w:b/>
        </w:rPr>
        <w:t xml:space="preserve">Quelle: </w:t>
      </w:r>
      <w:r>
        <w:t>https://mcp.opencaselaw.ch/entscheid/ti_gerichte_38.2020.27</w:t>
      </w:r>
    </w:p>
    <w:p>
      <w:r>
        <w:t>FR: TI_GERICHTE 38.2020.27 du 24 septembre 2020</w:t>
      </w:r>
    </w:p>
    <w:p>
      <w:r>
        <w:t>IT: TI_GERICHTE 38.2020.27 del 24 settembre 2020</w:t>
      </w:r>
    </w:p>
    <w:p>
      <w:pPr>
        <w:pStyle w:val="Heading2"/>
      </w:pPr>
      <w:r>
        <w:t>Erwägungen</w:t>
      </w:r>
    </w:p>
    <w:p>
      <w:r>
        <w:rPr>
          <w:b/>
        </w:rPr>
        <w:t>E. 23</w:t>
      </w:r>
    </w:p>
    <w:p>
      <w:r>
        <w:t>al. 1 LACI (DTA 2006 p. 305 consid. 4.1 p. 307)."</w:t>
      </w:r>
    </w:p>
    <w:p>
      <w:r>
        <w:t>2.4.   In virtù e nellambito della delega legislativa di cui allart. 23 cpv. 1in fine(cfr. consid. 2.3.),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w:t>
      </w:r>
    </w:p>
    <w:p>
      <w:r>
        <w:t>Il guadagno assicurato è calcolato in base al salario medio degli ultimi dodici mesi di contribuzione che precedono il termine quadro per la riscossione della prestazione se tale salario è più elevato del salario medio di cui al capoverso 1 (cfr. art. 37 cpv. 2 OADI).</w:t>
      </w:r>
    </w:p>
    <w:p>
      <w:r>
        <w:t>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w:t>
      </w:r>
    </w:p>
    <w:p>
      <w:r>
        <w:t>Sulla portata delle direttive amministrative, cfr. STF 9C_631/2019 del 19 giugno 2020 consid. 2.3.; STF 8C_331/2019 del 18 settembre 2019 consid. 4.3., pubblicata in SVR 2020 ALV Nr. 11 pag. 35 seg.;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2.7.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w:t>
      </w:r>
    </w:p>
    <w:p>
      <w:r>
        <w:t>In virtù dellart. 24 cpv. 3 LADI, il cui tenore non è stato modificato a far tempo dal 1° aprile 2011, è considerata perdita di guadagno la differenza tra il guadagno intermedio ottenuto nel periodo di controllo, ma corrispondente almeno allaliquota usuale per la professione e il luogo, e il guadagno assicurato. Un guadagno accessorio (art. 23 cpv. 3) non è preso in considerazione.</w:t>
      </w:r>
    </w:p>
    <w:p>
      <w:r>
        <w:t>Il guadagno intermedio, ai sensi dell'art. 24 LADI, deve essere inteso nel senso di salario lordo (cfr. SVR 1995 ALV Nr. 48 nella quale, a proposito del guadagno intermedio si parla di "Bruttomonatslohn" o di "Bruttolohn"; STCA 38.2015.36 del 9 novembre 2015 consid. 2.3.; STCA 38.2005.52 dell8 settembre 2005 consid. 1.6. e 2.4.).</w:t>
      </w:r>
    </w:p>
    <w:p>
      <w:r>
        <w:t>In una sentenza pubblicata in SVR 1994, ALV Nr. 20, p. 45 seg., in DTF 127 V 479; 122 V 433; 120 V 233 seg. e in 8C_721/2010,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w:t>
      </w:r>
    </w:p>
    <w:p>
      <w:r>
        <w:t>In tale contesto, dopo avere precisato che decisiva è la perdita di guadagno e non la perdita di lavoro (in effetti una perdita di lavoro senza perdita di guadagno non dà diritto a indennità di disoccupazione; cfr. STF 8C_150/2020 dell8 aprile 2020 consid. 4; commentata da Patricia Usinger-Egger in SZS/RSAS 4/2020),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w:t>
      </w:r>
    </w:p>
    <w:p>
      <w:r>
        <w:t>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ad esempio SVR 1994 ALV Nr. 20 p. 46-47).</w:t>
      </w:r>
    </w:p>
    <w:p>
      <w:r>
        <w:t>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w:t>
      </w:r>
    </w:p>
    <w:p>
      <w:r>
        <w:t>Sul tema cfr. pure STFA C 287/05 del 21 agosto 2006 e C 170/04 del 16 febbraio 2005.</w:t>
      </w:r>
    </w:p>
    <w:p>
      <w:r>
        <w:t>Il 18 gennaio 2019 è stato concluso un nuovo contratto di lavoro con la Ditta individuale __________, denominato Contratto di lavoro 2 a tempo indeterminato analogo al precedente, da cui emerge, però, che il grado di occupazione lavorativa a tempo parziale è del 22,5% e che il giorno di inizio formale era lunedì 2 novembre 2018 (cfr. doc. 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