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38.2019.8 vom 13. Mai 2019</w:t>
      </w:r>
    </w:p>
    <w:p>
      <w:r>
        <w:t>TI Tribunale d'appello, 2019-05-13, IT</w:t>
      </w:r>
    </w:p>
    <w:p>
      <w:r>
        <w:rPr>
          <w:b/>
        </w:rPr>
        <w:t xml:space="preserve">Quelle: </w:t>
      </w:r>
      <w:r>
        <w:t>https://mcp.opencaselaw.ch/entscheid/ti_gerichte_38.2019.8</w:t>
      </w:r>
    </w:p>
    <w:p>
      <w:r>
        <w:t>FR: TI_GERICHTE 38.2019.8 du 13 mai 2019</w:t>
      </w:r>
    </w:p>
    <w:p>
      <w:r>
        <w:t>IT: TI_GERICHTE 38.2019.8 del 13 maggio 2019</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TFA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attribuire le prestazioni (cfr. sentenza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U 408/06 del 25 giugno 2007).</w:t>
      </w:r>
    </w:p>
    <w:p>
      <w:r>
        <w:t>Questi principi si applicano anche quando delle prestazioni sono state accordate senza una decisione formale e che il loro versamento ha comunque acquisito forza di cosa giudicata (cfr. STF C 128/06 del 10 maggio 2007, DTF 129 V 110 consid. 1.1).</w:t>
      </w:r>
    </w:p>
    <w:p>
      <w:r>
        <w:t>Circa l'ulteriore presupposto necessario per poter riconsiderare una decisione, ovvero quello dell'importanza particolare che deve rivestire la rettifica, si veda pure la STFA C 24/01 e C 137/01 del 28 aprile 2003; STFA C 44/02 del 6 giugno 2002 e DLA 2000 N. 40, pag. 208.</w:t>
      </w:r>
    </w:p>
    <w:p>
      <w:r>
        <w:t>Applicandolabituale criterio della probabilità preponderante valido nel settore delle assicurazioni sociali(cfr.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Cassa ha ritenuto che il ricorrente non risiedeva effettivamente in Svizzera.</w:t>
      </w:r>
    </w:p>
    <w:p>
      <w:r>
        <w:t>Del resto che la separazione dalla moglie fosse definitiva e quindi lassicurato non avesse più a __________ il centro delle sue relazioni personali è dimostrato dal fatto che dal febbraio 2019 risiede in un monolocale a __________ (cfr. doc. P) e non è rientrato nella casa di cui è comproprietario con la moglie (sul monolocale, cfr. peraltro la STF 8C_420/2017 del 21 giugno 2017 riprodotta al consid. 2.2).</w:t>
      </w:r>
    </w:p>
    <w:p>
      <w:r>
        <w:t>Allinizio del controllo della disoccupazione il presupposto dellart. 8 cpv. 1 lett. c LADI non era dunque realizzato e lassicurato non aveva diritto allindennità di disoccupazione sulla base del diritto interno.</w:t>
      </w:r>
    </w:p>
    <w:p>
      <w:r>
        <w:t>2.4.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(DTF 130 V 145consid. 3 pag. 146;DTF 128 V 315, con riferimenti [RS 0.142.112.681]).</w:t>
      </w:r>
    </w:p>
    <w:p>
      <w:r>
        <w:t>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w:t>
      </w:r>
    </w:p>
    <w:p>
      <w:r>
        <w:t>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 B. 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175: ()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Questi assicurati beneficiano delle prestazioni dello Stato competente (nel nostro caso: della LADI) se si trovano in una situazione di lavoro ridotto (cfr. art. 1a cpv. 1 lett. b LADI e STCA 38.2015.12 del 5 febbraio 2016 in particolare consid. 2.6.) o in disoccupazione parziale (cfr. art. 8 cpv. 1 lett. a LADI, 10 cpv. 2 lett. a LADI, 10 cpv. 2 bis LADI e STCA 38.2017.83 del 19 febbraio 2018, STF 8C_248/2018 del 19 novembre 2018 in DTF 145 V 39 e SVR 2019 ALV Nr. 1; P. Usinger-Egger, Europäisches Sozialrecht: vorübergehender Arbeitsausfall bei Grenzgängerinnen und Grenzgängern in SZS/RSAS 2019 pag. 1-3)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t>Gli assicurati frontalieri in disoccupazione completa (cfr. art. 1a cpv. 1 lett. a LADI) devono invece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w:t>
      </w:r>
    </w:p>
    <w:p>
      <w:r>
        <w:t>A proposito delliscrizione presso gli uffici del lavoro dello Stato in cui lassicurato ha esercitato la sua attività lavorativa in una STF8C_186/2017 del 1° settembre 2017,massimata in RtiD I-2018 N. 61 pag. 281, il Tribunale federale ha ricordato che questa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w:t>
      </w:r>
    </w:p>
    <w:p>
      <w:r>
        <w:t>Infine va ricordato che la costruzione giurisprudenziale resa in applicazione del Regolamento CE n. 1408/71 relativa allo statuto del frontaliero vero atipico (cfr. DTF 133 V 169 a proposito di un cittadino svizzero residente in Italia che conservava in Svizzera legami personali e professionali tali da disporre nel nostro paese delle migliori possibilità di reinserimento professionale è stata abbandonata dalla stessa Corte di giustizia dallentrata in vigore del Regolamento n. 883/2004 (STF 8C_ 186/2017 del 1° settembre 2017; DTF 142 V 590 consid. 6.4 pag. 597; cfr. già sentenza (8C_592/2015 del 23 novembre 2015 consid. 4; sentenza C-443/11; THOMAS NUSSBAUMER, Arbeitslosenversicherung, in: Soziale Sicherheit, SBVR, Volume XIV, 2016, Nota marginale 997, pag. 2573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