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38.2019.4 vom 26. September 2018</w:t>
      </w:r>
    </w:p>
    <w:p>
      <w:r>
        <w:t>TI Tribunale d'appello, 2018-09-26, IT</w:t>
      </w:r>
    </w:p>
    <w:p>
      <w:r>
        <w:rPr>
          <w:b/>
        </w:rPr>
        <w:t xml:space="preserve">Quelle: </w:t>
      </w:r>
      <w:r>
        <w:t>https://mcp.opencaselaw.ch/entscheid/ti_gerichte_38.2019.4_d20180926</w:t>
      </w:r>
    </w:p>
    <w:p>
      <w:r>
        <w:t>FR: TI_GERICHTE 38.2019.4 du 26 septembre 2018</w:t>
      </w:r>
    </w:p>
    <w:p>
      <w:r>
        <w:t>IT: TI_GERICHTE 38.2019.4 del 26 settembre 2018</w:t>
      </w:r>
    </w:p>
    <w:p>
      <w:pPr>
        <w:pStyle w:val="Heading2"/>
      </w:pPr>
      <w:r>
        <w:t>Regeste</w:t>
      </w:r>
    </w:p>
    <w:p>
      <w:r>
        <w:t>Negato dt a indenn.di insolvenza x non avere rispettato obbligo ridurre il danno.I salari sono stati rivendicati tramite raccomand.,ma non è stato fatto spiccare alcun PE,né avviata un'azione giudiz.in CH.E' stato invece inoltrato un ric.ingiuntivo all'estero respinto.Occorreva maggior incisività</w:t>
      </w:r>
    </w:p>
    <w:p>
      <w:pPr>
        <w:pStyle w:val="Heading2"/>
      </w:pPr>
      <w:r>
        <w:t>Erwägungen</w:t>
      </w:r>
    </w:p>
    <w:p>
      <w:r>
        <w:rPr>
          <w:b/>
        </w:rPr>
        <w:t>E. 45</w:t>
      </w:r>
    </w:p>
    <w:p>
      <w:r>
        <w:t>consid.2.3; DTF 130 V 229 consid. 2.1.; DTF 127 V 57 consid. 3a; STFA I 102/00 del 22 agosto 2000; DTF 125 V 377, consid. 1c, pag. 379 e riferimenti; SVR 1997 ALV Nr. 83 consid. 3d, pag. 252, ALV Nr. 86 consid. 2c, pag. 262, ALV Nr. 88 consid. 3c, pag. 267-268 = DLA 1998 N. 24, consid. 3c, pag. 127 e ALV Nr. 98 consid. 4a, pag. 300).</w:t>
      </w:r>
    </w:p>
    <w:p>
      <w:r>
        <w:t>Il giudice deve, invece, scostarsene quando esse sono incompatibili con i disposti legali in esame (cfr. DTF 130 V 229 consid. 2.1.; STFA H 183/00 dell'8 maggio 2001; DTF 126 V 68 consid. 4b; DTF 125 V 379 consid. 1c e sentenze ivi citate; SVR 1997 ALV Nr. 86, consid. 2c, pag. 262, SVR 1997 ALV Nr. 88, consid. 3c, pag. 267-268 = DLA 1998 N. 24, consid. 3c, pag. 127, SVR 1997 ALV Nr. 98, consid. 4a, pag. 300; DTF 120 V 163 consid. 4b, DTF 119 V 65 consid.5a; RCC 1992 pag. 514, RCC 1992 pag. 220 consid. 16; DLA 1992 N. 5, consid. 3b, pag. 91; DTF 117 V 284 consid.4c, DTF 116 V 19 consid. 3c, DTF 114 V 16 consid. 1, DTF 112 V 233 consid.2a, DTF 110 V 267 consid. 1a, DTF 109 V 4 consid.3a; vedi inoltre Bois, "Procédures applicables aux requérants d'asile" in RSJ 1988 pag. 77ss; Duc-Greber: "La portée de l'art. 4 de la Constitution fédérale en droit de la sécurité sociale" in RDS 1992 II pag. 527; Cattaneo, "Les mesures préventives et de réadaptation de l'assurance-chômage", Ed.Helbing &amp; Lichtenhahn, Basilea e Francoforte sul Meno 1992, pag. 296-297).</w:t>
      </w:r>
    </w:p>
    <w:p>
      <w:r>
        <w:t>Secondo la giurisprudenza, infatti, tramite le direttive non possono essere introdotte limitazioni ad una pretesa materiale che vadano al di là di quanto previsto da leggi e ordinanze (DTF 118 V 32, DTF 109 V 169 consid. 3b).</w:t>
      </w:r>
    </w:p>
    <w:p>
      <w:r>
        <w:t>In una sentenza 2C_105/2009 del 18 settembre 2009, l'Alta Corte, a proposito delle direttive, ha ricordato che:</w:t>
      </w:r>
    </w:p>
    <w:p>
      <w:r>
        <w:t>2.6.   Il patrocinatore di RI 1 ha chiesto di richiamare se ritenuto necessario dal TCA, i documenti relativi allassicurato nellambito concernente il fallimento di __________.</w:t>
      </w:r>
    </w:p>
    <w:p>
      <w:r>
        <w:t>Nel caso di specie, ritenuto che i documenti già presenti allinserto consentono al TCA di emanare il proprio giudizio, questo Tribunale non ritiene necessario richiamare della documentazione dallUfficio fallimenti.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