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38.2019.46 vom 13. Juni 2019</w:t>
      </w:r>
    </w:p>
    <w:p>
      <w:r>
        <w:t>TI Tribunale d'appello, 2019-06-13, IT</w:t>
      </w:r>
    </w:p>
    <w:p>
      <w:r>
        <w:rPr>
          <w:b/>
        </w:rPr>
        <w:t xml:space="preserve">Quelle: </w:t>
      </w:r>
      <w:r>
        <w:t>https://mcp.opencaselaw.ch/entscheid/ti_gerichte_38.2019.46_d20190613</w:t>
      </w:r>
    </w:p>
    <w:p>
      <w:r>
        <w:t>FR: TI_GERICHTE 38.2019.46 du 13 juin 2019</w:t>
      </w:r>
    </w:p>
    <w:p>
      <w:r>
        <w:t>IT: TI_GERICHTE 38.2019.46 del 13 giugno 2019</w:t>
      </w:r>
    </w:p>
    <w:p>
      <w:pPr>
        <w:pStyle w:val="Heading2"/>
      </w:pPr>
      <w:r>
        <w:t>Regeste</w:t>
      </w:r>
    </w:p>
    <w:p>
      <w:r>
        <w:t>Negate ID poiché assic. può influenzare decisioni Sagl (autolavaggio) ex DL di cui socia gerente e in possesso dell'intero capitale sociale è la convivente. Convivenza non consente di negare ID. Siccome convivente è pure attiva al 50% presso una SA, necessario rinvio atti per chiarire se abuso</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 examen de leur pouvoir effectif d’influencer les décisions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2.2.   In una sentenza C 193/04 del</w:t>
      </w:r>
    </w:p>
    <w:p>
      <w:r>
        <w:rPr>
          <w:b/>
        </w:rPr>
        <w:t>E. 7</w:t>
      </w:r>
    </w:p>
    <w:p>
      <w:r>
        <w:t>La società a tuttora attiva?</w:t>
      </w:r>
    </w:p>
    <w:p>
      <w:r>
        <w:rPr>
          <w:b/>
        </w:rPr>
        <w:t>E. 8</w:t>
      </w:r>
    </w:p>
    <w:p>
      <w:r>
        <w:t>II signor RI 1 è stato sostituito?</w:t>
      </w:r>
    </w:p>
    <w:p>
      <w:r>
        <w:rPr>
          <w:b/>
        </w:rPr>
        <w:t>E. 9</w:t>
      </w:r>
    </w:p>
    <w:p>
      <w:r>
        <w:t>Gli impianti di autolavaggio sono attivi. (…)” (Doc. 18) Chiamato ora a pronunciarsi, il TCA rileva innanzitutto che il legame di convivenza tra RI 1 e la gerente della __________, relazione che si sarebbe peraltro interrotta prima del momento determinante della decisione su opposizione (cfr. STF 8C_82/2019 del 19 settembre 2019 consid. 5.3; DTF 143 V 409 consid. 2.1 pag. 411 in fine), a differenza del matrimonio, non è un motivo tale, secondo la giurisprudenza federale, per escludere già per principio il diritto dell’assicurato a beneficiare dell’indennità di disoccupazione (cfr. consid. 2.2). D’altra parte, non avendo l’assicurato nessun ruolo formale all’interno della Sagl e neppure una partecipazione finanziaria nella stessa non è possibile negargli il diritto all’indennità di disoccupazione per questi motivi (cfr. la giurisprudenza riprodotta al consid. 2.1). La Cassa sostiene tuttavia che vada negato il diritto all’indennità di disoccupazione in quanto RI 1 determina o può influenzare la decisione del datore di lavoro in quanto ritiene inverosimile che __________ possa occuparsi dell’autolavaggio visto che lavora al 50% presso la __________. Come giustamente sottolineato nel ricorso (cfr. consid. 1.2) l’amministrazione, per giungere a questa conclusione, non ha effettuato nessun accertamento in particolare sulla tipologia dell’impianto e sulla tipologia del lavoro necessario per tenerlo in funzione. Questo aspetto, alla luce di quanto esposto in precedenza, andava invece esaminato approfonditamente per poter escludere o confermare che si tratta di un procedimento adottato dall’assicurato per eludere le condizioni legali dal diritto alle prestazioni. Come visto (cfr. consid. 2.3), gli accertamenti devono essere compiuti soprattutto dall’amministrazione in sede di opposizione. Si giustifica quindi l’annullamento della decisione su opposizione impugnata e il rinvio degli atti all’amministrazione affinché, dopo avere sentito __________ e l’assicurato, interpellando quest’ultimo pure a proposito dell’attività di operaio a ore svolta presso il __________ di __________ (cfr. doc. 21 – doc. 23; doc. A2), e se del caso dopo avere effettuato un sopralluogo, si pronunci nuovamente sull’adempimento del presupposto dell’art. 8 cpv. 1 lett. a LADI e, se lo riterrà realizzato, degli altri presupposti del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