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38.2019.42 vom 23. April 2019</w:t>
      </w:r>
    </w:p>
    <w:p>
      <w:r>
        <w:t>TI Tribunale d'appello, 2019-04-23, IT</w:t>
      </w:r>
    </w:p>
    <w:p>
      <w:r>
        <w:rPr>
          <w:b/>
        </w:rPr>
        <w:t xml:space="preserve">Quelle: </w:t>
      </w:r>
      <w:r>
        <w:t>https://mcp.opencaselaw.ch/entscheid/ti_gerichte_38.2019.42_d20190423</w:t>
      </w:r>
    </w:p>
    <w:p>
      <w:r>
        <w:t>FR: TI_GERICHTE 38.2019.42 du 23 avril 2019</w:t>
      </w:r>
    </w:p>
    <w:p>
      <w:r>
        <w:t>IT: TI_GERICHTE 38.2019.42 del 23 aprile 2019</w:t>
      </w:r>
    </w:p>
    <w:p>
      <w:pPr>
        <w:pStyle w:val="Heading2"/>
      </w:pPr>
      <w:r>
        <w:t>Regeste</w:t>
      </w:r>
    </w:p>
    <w:p>
      <w:r>
        <w:t>Negate ind. per insolvenza per pretese salariali riferite a 03-04/2018. Licenziamento per fine 10/2018 e a seguito inf. 02/18 ricevuto IG fino al 25.10.2018. Pertanto le pretese del ricorrente non rientrano negli ultimi 4 mesi del rapporto di lavoro</w:t>
      </w:r>
    </w:p>
    <w:p>
      <w:pPr>
        <w:pStyle w:val="Heading2"/>
      </w:pPr>
      <w:r>
        <w:t>Erwägungen</w:t>
      </w:r>
    </w:p>
    <w:p>
      <w:r>
        <w:rPr>
          <w:b/>
        </w:rPr>
        <w:t>E. 2</w:t>
      </w:r>
    </w:p>
    <w:p>
      <w:r>
        <w:t>Sono considerati salario anche gli assegni dovuti.</w:t>
      </w:r>
    </w:p>
    <w:p>
      <w:r>
        <w:t>I contributi legali alle assicurazioni sociali devono essere prelevati dallindennità per insolvenza. La cassa deve conteggiare i contributi prescritti con gli organi competenti e dedurre ai lavoratori la parte dei contributi da loro dovuta (cfr. art. 52 cpv. 2 LADI).</w:t>
      </w:r>
    </w:p>
    <w:p>
      <w:r>
        <w:t>2.2.In una sentenza pubblicata in DTF 121 V 377 il Tribunale federale delle assicurazioni (TFA; dal 1° gennaio 2007 Tribunale federale: TF) ha stabilito che lindennità per insolvenza non copre le pretese determinate da un licenziamento immediato e ingiustificato del datore di lavoro né quelle derivanti da un licenziamento in tempo inopportuno, quando il lavoratore non ha prestato un lavoro, bensì i crediti di salario fondati su di unattività lavorativa svolta effettivamente.</w:t>
      </w:r>
    </w:p>
    <w:p>
      <w:r>
        <w:t>LAlta Corte ha, in particolare, precisato che per delimitare lindennità di disoccupazione dallindennità per insolvenza occorre chiedersi se lassicurato, nel periodo in questione, sia idoneo al collocamento (art. 15 cpv. 1 LADI) e possa sottoporsi alle prescrizioni di controllo dellamministrazione (art. 17 LADI). In caso affermativo lassicurato non ha diritto alle indennità per insolvenza.</w:t>
      </w:r>
    </w:p>
    <w:p>
      <w:r>
        <w:t>In simili condizioni colui che è stato licenziato con effetto immediato senza giusti motivi e che conseguentemente non lavora più è, in linea di principio, idoneo al collocamento. Il suo diritto alle indennità di disoccupazione deve, quindi, essere esaminato alla luce delle condizioni di cui allart. 8 segg. LADI.</w:t>
      </w:r>
    </w:p>
    <w:p>
      <w:r>
        <w:t>Lassicurato che, però, ha ancora dei diritti da far valere derivanti dal contratto di lavoro (salario o indennità per risoluzione anticipata del rapporto di impiego) non subisce una perdita di lavoro e non può pretendere lindennità di disoccupazione. La cassa, tuttavia, in caso di dubbio quanto ai diritti derivanti dal contratto di lavoro, versa comunque lindennità. Alla cassa passano le pretese dellassicurato, compreso il privilegio legale nel fallimento, nel limite dellindennità giornaliera da essa versata come previsto allart. 29 cpv. 1 e 2 LADI.</w:t>
      </w:r>
    </w:p>
    <w:p>
      <w:r>
        <w:t>2.3.   La Prassi LADI II (Indennità per insolvenza) emessa dalla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 marzo 2015 - e tuttora valida (cfr. la Prassi LADI II valida dal 1° gennaio 2019 - prevede che:</w:t>
      </w:r>
    </w:p>
    <w:p>
      <w:r>
        <w:t>"DISTINZIONE TRA LID E LII</w:t>
      </w:r>
    </w:p>
    <w:p>
      <w:r>
        <w:t>A2LII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w:t>
      </w:r>
    </w:p>
    <w:p>
      <w:r>
        <w:t>A3Il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Prassi LADI ID C198 segg.)</w:t>
      </w:r>
    </w:p>
    <w:p>
      <w:r>
        <w:t>A4LII non copre le pretese determinate da un licenziamento immediato e ingiustificato del lavoratore (DTF 8C_244/2007 del 17.3.2008; DTF 132 V 82; TFA C109/02 del 10.1.2003; DTF 121 V 377). ()</w:t>
      </w:r>
    </w:p>
    <w:p>
      <w:r>
        <w:t>Sulla portata delle direttive amministrative, cfr. DTF 132 V 121 consid. 4.4 pag. 125; STF 8C_742/2014 del 4 maggio 2015 consid. 1.3.; STF 9C_141/2012 del 16 aprile 2012; STF 2C_105/2009 del 18 settembre 2009; STF E 1/06 del 26 luglio 2007 consid. 4.3).</w:t>
      </w:r>
    </w:p>
    <w:p>
      <w:r>
        <w:rPr>
          <w:b/>
        </w:rPr>
        <w:t>E. 2.2</w:t>
      </w:r>
    </w:p>
    <w:p>
      <w:r>
        <w:t>In una sentenza pubblicata in DTF 121 V 377 il Tribunale federale delle assicurazioni (TFA; dal 1° gennaio 2007 Tribunale federale: TF) ha stabilito che l’indennità per insolvenza non copre le pretese determinate da un licenziamento immediato e ingiustificato del datore di lavoro né quelle derivanti da un licenziamento in tempo inopportuno, quando il lavoratore non ha prestato un lavoro, bensì i crediti di salario fondati su di un’attività lavorativa svolta effettivamente. L’Alta Corte ha, in particolare, precisato che per delimitare l’indennità di disoccupazione dall’indennità per insolvenza occorre chiedersi se l’assicurato, nel periodo in questione, sia idoneo al collocamento (art. 15 cpv. 1 LADI) e possa sottoporsi alle prescrizioni di controllo dell’amministrazione (art. 17 LADI). In caso affermativo l’assicurato non ha diritto alle indennità per insolvenza. In simili condizioni colui che è stato licenziato con effetto immediato senza giusti motivi e che conseguentemente non lavora più è, in linea di principio, idoneo al collocamento. Il suo diritto alle indennità di disoccupazione deve, quindi, essere esaminato alla luce delle condizioni di cui all’art. 8 segg. LADI. L’assicurato che, però, ha ancora dei diritti da far valere derivanti dal contratto di lavoro (salario o indennità per risoluzione anticipata del rapporto di impiego) non subisce una perdita di lavoro e non può pretendere l’indennità di disoccupazione. La cassa, tuttavia, in caso di dubbio quanto ai diritti derivanti dal contratto di lavoro, versa comunque l’indennità. Alla cassa passano le pretese dell’assicurato, compreso il privilegio legale nel fallimento, nel limite dell’indennità giornaliera da essa versata come previsto all’art. 29 cpv. 1 e 2 LADI. 2.3.   La Prassi LADI II (Indennità per insolvenza) emessa dalla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 marzo 2015 - e tuttora valida (cfr. la Prassi LADI II valida dal 1° gennaio 2019 - prevede che: " DISTINZIONE TRA L’ID E L’II A2 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 A3 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Prassi LADI ID C198 segg.) A4 L’II non copre le pretese determinate da un licenziamento immediato e ingiustificato del lavoratore (DTF 8C_244/2007 del 17.3.2008; DTF 132 V 82; TFA C109/02 del 10.1.2003; DTF 121 V 377). (…)” Sulla portata delle direttive amministrative, cfr. DTF 132 V 121 consid. 4.4 pag. 125; STF 8C_742/2014 del 4 maggio 2015 consid. 1.3.; STF 9C_141/2012 del 16 aprile 2012; STF 2C_105/2009 del 18 settembre 2009; STF E 1/06 del 26 luglio 2007 consid. 4.3). 2.4.   Nella presente fattispecie emerge dagli atti dell’incarto che RI 1 ha lavorato per la __________ dal 1° settembre 2017 al 31 ottobre 2018 (cfr. doc. 63-64). Egli è stato licenziato il 13 settembre 2018 per il 31 ottobre 2018 (cfr. doc. 26). A seguito di un infortunio subito il 6 febbraio 2018 l’assicurato è stato posto al beneficio di indennità versate dall’assicuratore contro gli infortuni fino al 25 ottobre 2018 (cfr. doc. 21). L’assicurato, l’11 aprile 2019, ha presentato una domanda per insolvenza facendo valere crediti salariali di fr. 6'294.90 relativi al mese di aprile 2018 e agli straordinari per il mese di marzo 2018 (cfr. doc. 18-19). Come visto, l’indennità per insolvenza copre i crediti salariali concernenti gli ultimi quattro mesi del rapporto di lavoro (cfr. consid. 2.1 in fine). Nel caso concreto si tratta del periodo 1° luglio - 31 ottobre 2018 nel quale egli è stato indennizzato dall’assicuratore contro gli infortuni. Il ricorrente non fa peraltro valere pretese relative a quel periodo non indennizzante dall’assicuratore contro gli infortuni (cfr. B. Rubin, “Commentaire de la loi sur l’assurance-chômage”. Ed. Schlthess 2014 pag. 431, nr. 16: “En cas de versement de prestations d’une assurances consécutivement à une incapacité de travail, l’indemnité ne peut être versée que pour la part de la perte de gain non couverte par ladite assurance.”) A ragione dunque la Cassa ha respinto la richiesta dell’assicurato in quanto le sue pretese salariali si riferiscono a un periodo (aprile 2018 e in parte marzo 2018) antecedente gli ultimi quattro mesi del rapporto di lavoro. La decisione su opposizione del 7 giugno 2019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